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A1D" w:rsidRPr="004A5AFB" w:rsidRDefault="00EE0A1D" w:rsidP="004A5AFB">
      <w:pPr>
        <w:spacing w:after="0" w:line="240" w:lineRule="auto"/>
        <w:jc w:val="center"/>
        <w:rPr>
          <w:rFonts w:ascii="Times New Roman" w:hAnsi="Times New Roman" w:cs="Times New Roman"/>
          <w:b/>
          <w:sz w:val="28"/>
          <w:szCs w:val="28"/>
        </w:rPr>
      </w:pPr>
      <w:bookmarkStart w:id="0" w:name="_GoBack"/>
      <w:r w:rsidRPr="004A5AFB">
        <w:rPr>
          <w:rFonts w:ascii="Times New Roman" w:hAnsi="Times New Roman" w:cs="Times New Roman"/>
          <w:b/>
          <w:sz w:val="28"/>
          <w:szCs w:val="28"/>
        </w:rPr>
        <w:t>Руководство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 необходимых для их реализации организационных, технических мероприятий</w:t>
      </w:r>
    </w:p>
    <w:bookmarkEnd w:id="0"/>
    <w:p w:rsidR="004A5AFB" w:rsidRPr="004A5AFB" w:rsidRDefault="004A5AFB" w:rsidP="004A5AFB">
      <w:pPr>
        <w:spacing w:after="0" w:line="240" w:lineRule="auto"/>
        <w:jc w:val="center"/>
        <w:rPr>
          <w:rFonts w:ascii="Times New Roman" w:hAnsi="Times New Roman" w:cs="Times New Roman"/>
          <w:b/>
          <w:sz w:val="28"/>
          <w:szCs w:val="28"/>
        </w:rPr>
      </w:pPr>
    </w:p>
    <w:p w:rsidR="00EE045D" w:rsidRDefault="00EE0A1D" w:rsidP="00EE045D">
      <w:pPr>
        <w:pStyle w:val="a4"/>
        <w:suppressAutoHyphens/>
        <w:spacing w:after="0" w:line="240" w:lineRule="auto"/>
        <w:ind w:left="0" w:firstLine="720"/>
        <w:jc w:val="both"/>
        <w:rPr>
          <w:rFonts w:ascii="Times New Roman" w:hAnsi="Times New Roman"/>
          <w:sz w:val="28"/>
          <w:szCs w:val="28"/>
        </w:rPr>
      </w:pPr>
      <w:r w:rsidRPr="004A5AFB">
        <w:rPr>
          <w:rFonts w:ascii="Times New Roman" w:hAnsi="Times New Roman"/>
          <w:sz w:val="28"/>
          <w:szCs w:val="28"/>
        </w:rPr>
        <w:t xml:space="preserve"> </w:t>
      </w:r>
      <w:r w:rsidR="00EE045D" w:rsidRPr="00105566">
        <w:rPr>
          <w:rFonts w:ascii="Times New Roman" w:hAnsi="Times New Roman"/>
          <w:sz w:val="28"/>
          <w:szCs w:val="28"/>
        </w:rPr>
        <w:t xml:space="preserve">С 11 января 2018 года вступили в силу изменения норм ст. 360 Трудового кодекса РФ, которыми </w:t>
      </w:r>
      <w:r w:rsidR="00EE045D">
        <w:rPr>
          <w:rFonts w:ascii="Times New Roman" w:hAnsi="Times New Roman"/>
          <w:sz w:val="28"/>
          <w:szCs w:val="28"/>
          <w:lang w:val="ru-RU"/>
        </w:rPr>
        <w:t>Инспекторам труда</w:t>
      </w:r>
      <w:r w:rsidR="00EE045D" w:rsidRPr="00105566">
        <w:rPr>
          <w:rFonts w:ascii="Times New Roman" w:hAnsi="Times New Roman"/>
          <w:sz w:val="28"/>
          <w:szCs w:val="28"/>
        </w:rPr>
        <w:t xml:space="preserve"> предоставлено право беспрепятственно проводить проверки соблюдения прав работников в организациях </w:t>
      </w:r>
      <w:r w:rsidR="00EE045D" w:rsidRPr="00105566">
        <w:rPr>
          <w:rFonts w:ascii="Times New Roman" w:hAnsi="Times New Roman"/>
          <w:bCs/>
          <w:sz w:val="28"/>
          <w:szCs w:val="28"/>
        </w:rPr>
        <w:t>без предварительного их предупреждения</w:t>
      </w:r>
      <w:r w:rsidR="00EE045D" w:rsidRPr="00105566">
        <w:rPr>
          <w:rFonts w:ascii="Times New Roman" w:hAnsi="Times New Roman"/>
          <w:sz w:val="28"/>
          <w:szCs w:val="28"/>
        </w:rPr>
        <w:t xml:space="preserve"> по обращению и заявлению граждан, в том числе индивидуальных предпринимателей, юридических лиц, информации от органов государственной власти, органов местного самоуправления, профессиональных союзов, из средств массовой информации о фактах уклонения от оформления трудового договора, ненадлежащего оформления трудового договора или заключения гражданско-правового договора.</w:t>
      </w:r>
    </w:p>
    <w:p w:rsidR="00EE0A1D" w:rsidRPr="004A5AFB" w:rsidRDefault="00EE0A1D" w:rsidP="004A5AFB">
      <w:pPr>
        <w:autoSpaceDE w:val="0"/>
        <w:autoSpaceDN w:val="0"/>
        <w:adjustRightInd w:val="0"/>
        <w:spacing w:after="0" w:line="240" w:lineRule="auto"/>
        <w:ind w:firstLine="540"/>
        <w:jc w:val="both"/>
        <w:rPr>
          <w:rFonts w:ascii="Times New Roman" w:hAnsi="Times New Roman" w:cs="Times New Roman"/>
          <w:sz w:val="28"/>
          <w:szCs w:val="28"/>
        </w:rPr>
      </w:pPr>
      <w:r w:rsidRPr="004A5AFB">
        <w:rPr>
          <w:rFonts w:ascii="Times New Roman" w:hAnsi="Times New Roman" w:cs="Times New Roman"/>
          <w:sz w:val="28"/>
          <w:szCs w:val="28"/>
        </w:rPr>
        <w:t xml:space="preserve"> Федеральным </w:t>
      </w:r>
      <w:hyperlink r:id="rId5" w:history="1">
        <w:r w:rsidRPr="004A5AFB">
          <w:rPr>
            <w:rFonts w:ascii="Times New Roman" w:hAnsi="Times New Roman" w:cs="Times New Roman"/>
            <w:sz w:val="28"/>
            <w:szCs w:val="28"/>
          </w:rPr>
          <w:t>законом</w:t>
        </w:r>
      </w:hyperlink>
      <w:r w:rsidRPr="004A5AFB">
        <w:rPr>
          <w:rFonts w:ascii="Times New Roman" w:hAnsi="Times New Roman" w:cs="Times New Roman"/>
          <w:sz w:val="28"/>
          <w:szCs w:val="28"/>
        </w:rPr>
        <w:t xml:space="preserve"> от 3 июля </w:t>
      </w:r>
      <w:smartTag w:uri="urn:schemas-microsoft-com:office:smarttags" w:element="metricconverter">
        <w:smartTagPr>
          <w:attr w:name="ProductID" w:val="2016 г"/>
        </w:smartTagPr>
        <w:r w:rsidRPr="004A5AFB">
          <w:rPr>
            <w:rFonts w:ascii="Times New Roman" w:hAnsi="Times New Roman" w:cs="Times New Roman"/>
            <w:sz w:val="28"/>
            <w:szCs w:val="28"/>
          </w:rPr>
          <w:t>2016 г</w:t>
        </w:r>
      </w:smartTag>
      <w:r w:rsidRPr="004A5AFB">
        <w:rPr>
          <w:rFonts w:ascii="Times New Roman" w:hAnsi="Times New Roman" w:cs="Times New Roman"/>
          <w:sz w:val="28"/>
          <w:szCs w:val="28"/>
        </w:rPr>
        <w:t xml:space="preserve">. N 272-ФЗ "О внесении изменений в отдельные законодательные акты Российской Федерации по вопросам повышения ответственности работодателей за нарушение законодательства в части, касающейся оплаты труда" ( вступившим в силу 03.10.2016г)  внесена поправка в </w:t>
      </w:r>
      <w:hyperlink r:id="rId6" w:history="1">
        <w:r w:rsidRPr="004A5AFB">
          <w:rPr>
            <w:rFonts w:ascii="Times New Roman" w:hAnsi="Times New Roman" w:cs="Times New Roman"/>
            <w:sz w:val="28"/>
            <w:szCs w:val="28"/>
          </w:rPr>
          <w:t>часть шестую статьи 136</w:t>
        </w:r>
      </w:hyperlink>
      <w:r w:rsidRPr="004A5AFB">
        <w:rPr>
          <w:rFonts w:ascii="Times New Roman" w:hAnsi="Times New Roman" w:cs="Times New Roman"/>
          <w:sz w:val="28"/>
          <w:szCs w:val="28"/>
        </w:rPr>
        <w:t xml:space="preserve"> Трудового кодекса РФ, согласно которой конкретная дата выплаты заработной платы устанавливается правилами внутреннего трудового распорядка, коллективным договором или трудовым договором не позднее 15 календарных дней со дня окончания периода, за который она начислена.  В соответствии с действующей </w:t>
      </w:r>
      <w:hyperlink r:id="rId7" w:history="1">
        <w:r w:rsidRPr="004A5AFB">
          <w:rPr>
            <w:rFonts w:ascii="Times New Roman" w:hAnsi="Times New Roman" w:cs="Times New Roman"/>
            <w:sz w:val="28"/>
            <w:szCs w:val="28"/>
          </w:rPr>
          <w:t>частью шестой статьи 136</w:t>
        </w:r>
      </w:hyperlink>
      <w:r w:rsidRPr="004A5AFB">
        <w:rPr>
          <w:rFonts w:ascii="Times New Roman" w:hAnsi="Times New Roman" w:cs="Times New Roman"/>
          <w:sz w:val="28"/>
          <w:szCs w:val="28"/>
        </w:rPr>
        <w:t xml:space="preserve"> ТК РФ заработная плата выплачивается не реже чем каждые полмесяца в день, установленный правилами внутреннего трудового распорядка, коллективным договором, трудовым договором. С учетом новой редакции </w:t>
      </w:r>
      <w:hyperlink r:id="rId8" w:history="1">
        <w:r w:rsidRPr="004A5AFB">
          <w:rPr>
            <w:rFonts w:ascii="Times New Roman" w:hAnsi="Times New Roman" w:cs="Times New Roman"/>
            <w:sz w:val="28"/>
            <w:szCs w:val="28"/>
          </w:rPr>
          <w:t>статьи 136</w:t>
        </w:r>
      </w:hyperlink>
      <w:r w:rsidRPr="004A5AFB">
        <w:rPr>
          <w:rFonts w:ascii="Times New Roman" w:hAnsi="Times New Roman" w:cs="Times New Roman"/>
          <w:sz w:val="28"/>
          <w:szCs w:val="28"/>
        </w:rPr>
        <w:t xml:space="preserve"> ТК РФ заработная плата за первую половину месяца должна быть выплачена в установленный день с 16 по 30 (31) текущего периода, за вторую половину - с 1 по 15 число следующего месяца. При совпадении дня выплаты с выходным или нерабочим праздничным днем выплата заработной платы производится накануне этого дня. Стимулирующие выплаты (доплаты и надбавки стимулирующего характера, премии и иные поощрительные выплаты) являются одной из составляющих заработной платы и могут выплачиваться за иные более продолжительные периоды, чем полмесяца (месяц и другие) в сроки    установленные коллективным договором, локальным нормативным актом. При этом, в сезон отпусков не следует забывать о том, </w:t>
      </w:r>
      <w:proofErr w:type="gramStart"/>
      <w:r w:rsidRPr="004A5AFB">
        <w:rPr>
          <w:rFonts w:ascii="Times New Roman" w:hAnsi="Times New Roman" w:cs="Times New Roman"/>
          <w:sz w:val="28"/>
          <w:szCs w:val="28"/>
        </w:rPr>
        <w:t>что  оплата</w:t>
      </w:r>
      <w:proofErr w:type="gramEnd"/>
      <w:r w:rsidRPr="004A5AFB">
        <w:rPr>
          <w:rFonts w:ascii="Times New Roman" w:hAnsi="Times New Roman" w:cs="Times New Roman"/>
          <w:sz w:val="28"/>
          <w:szCs w:val="28"/>
        </w:rPr>
        <w:t xml:space="preserve"> отпуска производится не позднее чем за три дня до его начала. </w:t>
      </w:r>
    </w:p>
    <w:p w:rsidR="00EE0A1D" w:rsidRPr="004A5AFB" w:rsidRDefault="00EE0A1D" w:rsidP="004A5AFB">
      <w:pPr>
        <w:spacing w:after="0" w:line="240" w:lineRule="auto"/>
        <w:jc w:val="both"/>
        <w:rPr>
          <w:rFonts w:ascii="Times New Roman" w:hAnsi="Times New Roman" w:cs="Times New Roman"/>
          <w:sz w:val="28"/>
          <w:szCs w:val="28"/>
        </w:rPr>
      </w:pPr>
      <w:r w:rsidRPr="004A5AFB">
        <w:rPr>
          <w:rFonts w:ascii="Times New Roman" w:hAnsi="Times New Roman" w:cs="Times New Roman"/>
          <w:sz w:val="28"/>
          <w:szCs w:val="28"/>
        </w:rPr>
        <w:t xml:space="preserve">         Хотелось бы обратить Ваше внимание еще </w:t>
      </w:r>
      <w:proofErr w:type="gramStart"/>
      <w:r w:rsidRPr="004A5AFB">
        <w:rPr>
          <w:rFonts w:ascii="Times New Roman" w:hAnsi="Times New Roman" w:cs="Times New Roman"/>
          <w:sz w:val="28"/>
          <w:szCs w:val="28"/>
        </w:rPr>
        <w:t>на  одну</w:t>
      </w:r>
      <w:proofErr w:type="gramEnd"/>
      <w:r w:rsidRPr="004A5AFB">
        <w:rPr>
          <w:rFonts w:ascii="Times New Roman" w:hAnsi="Times New Roman" w:cs="Times New Roman"/>
          <w:sz w:val="28"/>
          <w:szCs w:val="28"/>
        </w:rPr>
        <w:t xml:space="preserve"> достаточно часто нарушаемую   </w:t>
      </w:r>
      <w:proofErr w:type="spellStart"/>
      <w:r w:rsidRPr="004A5AFB">
        <w:rPr>
          <w:rFonts w:ascii="Times New Roman" w:hAnsi="Times New Roman" w:cs="Times New Roman"/>
          <w:sz w:val="28"/>
          <w:szCs w:val="28"/>
        </w:rPr>
        <w:t>правоприменителями</w:t>
      </w:r>
      <w:proofErr w:type="spellEnd"/>
      <w:r w:rsidRPr="004A5AFB">
        <w:rPr>
          <w:rFonts w:ascii="Times New Roman" w:hAnsi="Times New Roman" w:cs="Times New Roman"/>
          <w:sz w:val="28"/>
          <w:szCs w:val="28"/>
        </w:rPr>
        <w:t xml:space="preserve">   норму Закона.   Согласно </w:t>
      </w:r>
      <w:hyperlink r:id="rId9" w:history="1">
        <w:r w:rsidRPr="004A5AFB">
          <w:rPr>
            <w:rStyle w:val="a3"/>
            <w:rFonts w:ascii="Times New Roman" w:hAnsi="Times New Roman" w:cs="Times New Roman"/>
            <w:color w:val="auto"/>
            <w:sz w:val="28"/>
            <w:szCs w:val="28"/>
          </w:rPr>
          <w:t>ст. 136</w:t>
        </w:r>
      </w:hyperlink>
      <w:r w:rsidRPr="004A5AFB">
        <w:rPr>
          <w:rFonts w:ascii="Times New Roman" w:hAnsi="Times New Roman" w:cs="Times New Roman"/>
          <w:sz w:val="28"/>
          <w:szCs w:val="28"/>
        </w:rPr>
        <w:t xml:space="preserve"> ТК РФ при выплате заработной платы работодатель обязан извещать в письменной форме каждого работника: о составных частях заработной платы, причитающейся ему за соответствующий период; размерах иных сумм, </w:t>
      </w:r>
      <w:r w:rsidRPr="004A5AFB">
        <w:rPr>
          <w:rFonts w:ascii="Times New Roman" w:hAnsi="Times New Roman" w:cs="Times New Roman"/>
          <w:sz w:val="28"/>
          <w:szCs w:val="28"/>
        </w:rPr>
        <w:lastRenderedPageBreak/>
        <w:t xml:space="preserve">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размерах и об основаниях произведенных удержаний; общей денежной сумме, подлежащей выплате. </w:t>
      </w:r>
    </w:p>
    <w:p w:rsidR="00EE0A1D" w:rsidRPr="004A5AFB" w:rsidRDefault="00EE0A1D" w:rsidP="004A5AFB">
      <w:pPr>
        <w:spacing w:after="0" w:line="240" w:lineRule="auto"/>
        <w:jc w:val="both"/>
        <w:rPr>
          <w:rFonts w:ascii="Times New Roman" w:hAnsi="Times New Roman" w:cs="Times New Roman"/>
          <w:sz w:val="28"/>
          <w:szCs w:val="28"/>
        </w:rPr>
      </w:pPr>
      <w:r w:rsidRPr="004A5AFB">
        <w:rPr>
          <w:rFonts w:ascii="Times New Roman" w:hAnsi="Times New Roman" w:cs="Times New Roman"/>
          <w:sz w:val="28"/>
          <w:szCs w:val="28"/>
        </w:rPr>
        <w:t xml:space="preserve">          Форма расчетного листка утверждается работодателем.</w:t>
      </w:r>
    </w:p>
    <w:p w:rsidR="00EE0A1D" w:rsidRPr="004A5AFB" w:rsidRDefault="00EE0A1D" w:rsidP="004A5AFB">
      <w:pPr>
        <w:spacing w:after="0" w:line="240" w:lineRule="auto"/>
        <w:jc w:val="both"/>
        <w:rPr>
          <w:rFonts w:ascii="Times New Roman" w:hAnsi="Times New Roman" w:cs="Times New Roman"/>
          <w:sz w:val="28"/>
          <w:szCs w:val="28"/>
        </w:rPr>
      </w:pPr>
      <w:r w:rsidRPr="004A5AFB">
        <w:rPr>
          <w:rFonts w:ascii="Times New Roman" w:hAnsi="Times New Roman" w:cs="Times New Roman"/>
          <w:sz w:val="28"/>
          <w:szCs w:val="28"/>
        </w:rPr>
        <w:t xml:space="preserve">Следует отметить, что Трудовой </w:t>
      </w:r>
      <w:hyperlink r:id="rId10" w:history="1">
        <w:r w:rsidRPr="004A5AFB">
          <w:rPr>
            <w:rStyle w:val="a3"/>
            <w:rFonts w:ascii="Times New Roman" w:hAnsi="Times New Roman" w:cs="Times New Roman"/>
            <w:color w:val="auto"/>
            <w:sz w:val="28"/>
            <w:szCs w:val="28"/>
          </w:rPr>
          <w:t>кодекс</w:t>
        </w:r>
      </w:hyperlink>
      <w:r w:rsidRPr="004A5AFB">
        <w:rPr>
          <w:rFonts w:ascii="Times New Roman" w:hAnsi="Times New Roman" w:cs="Times New Roman"/>
          <w:sz w:val="28"/>
          <w:szCs w:val="28"/>
        </w:rPr>
        <w:t xml:space="preserve"> РФ не предписывает вручать работникам расчетные листки под роспись, поэтому способ подтверждения получения расчетных листков работниками организации остается на усмотрение работодателя. Например, фиксировать выдачу листков можно:</w:t>
      </w:r>
    </w:p>
    <w:p w:rsidR="00EE0A1D" w:rsidRPr="004A5AFB" w:rsidRDefault="00EE0A1D" w:rsidP="004A5AFB">
      <w:pPr>
        <w:spacing w:after="0" w:line="240" w:lineRule="auto"/>
        <w:jc w:val="both"/>
        <w:rPr>
          <w:rFonts w:ascii="Times New Roman" w:hAnsi="Times New Roman" w:cs="Times New Roman"/>
          <w:sz w:val="28"/>
          <w:szCs w:val="28"/>
        </w:rPr>
      </w:pPr>
      <w:r w:rsidRPr="004A5AFB">
        <w:rPr>
          <w:rFonts w:ascii="Times New Roman" w:hAnsi="Times New Roman" w:cs="Times New Roman"/>
          <w:sz w:val="28"/>
          <w:szCs w:val="28"/>
        </w:rPr>
        <w:t xml:space="preserve">- в журнале регистрации, где работник будет подтверждать своей подписью, что получил расчетный листок.   </w:t>
      </w:r>
    </w:p>
    <w:p w:rsidR="00EE0A1D" w:rsidRPr="004A5AFB" w:rsidRDefault="00EE0A1D" w:rsidP="004A5AFB">
      <w:pPr>
        <w:spacing w:after="0" w:line="240" w:lineRule="auto"/>
        <w:jc w:val="both"/>
        <w:rPr>
          <w:rFonts w:ascii="Times New Roman" w:hAnsi="Times New Roman" w:cs="Times New Roman"/>
          <w:sz w:val="28"/>
          <w:szCs w:val="28"/>
        </w:rPr>
      </w:pPr>
      <w:r w:rsidRPr="004A5AFB">
        <w:rPr>
          <w:rFonts w:ascii="Times New Roman" w:hAnsi="Times New Roman" w:cs="Times New Roman"/>
          <w:sz w:val="28"/>
          <w:szCs w:val="28"/>
        </w:rPr>
        <w:t>Не секрет, что на практике   широко распространено привлечение работников к сверхурочной работе Интенсивная деятельность работодателей часто не укладывается в норму рабочего времени. А в некоторых компаниях добровольно-принудительная сверхурочная работа является стандартной ситуацией. В таких организациях "принято" задерживаться после окончания рабочего дня, и такие задержки уже становятся частью их корпоративной культуры.   Воля работодателя о привлечении должна быть выражена в приказе, а от работника по общему правилу должно быть получено письменное согласие (</w:t>
      </w:r>
      <w:hyperlink r:id="rId11" w:history="1">
        <w:r w:rsidRPr="004A5AFB">
          <w:rPr>
            <w:rStyle w:val="a3"/>
            <w:rFonts w:ascii="Times New Roman" w:hAnsi="Times New Roman" w:cs="Times New Roman"/>
            <w:color w:val="auto"/>
            <w:sz w:val="28"/>
            <w:szCs w:val="28"/>
          </w:rPr>
          <w:t>ст. 99</w:t>
        </w:r>
      </w:hyperlink>
      <w:r w:rsidRPr="004A5AFB">
        <w:rPr>
          <w:rFonts w:ascii="Times New Roman" w:hAnsi="Times New Roman" w:cs="Times New Roman"/>
          <w:sz w:val="28"/>
          <w:szCs w:val="28"/>
        </w:rPr>
        <w:t xml:space="preserve"> Трудового кодекса РФ). Кроме того, работодатель должен зафиксировать точное количество отработанных сверхурочно часов.  Их продолжительность не должна превышать для каждого работника четырех часов в течение двух дней подряд и 120 часов в год.   </w:t>
      </w:r>
    </w:p>
    <w:p w:rsidR="00EE0A1D" w:rsidRPr="004A5AFB" w:rsidRDefault="00EE0A1D" w:rsidP="004A5AFB">
      <w:pPr>
        <w:spacing w:after="0" w:line="240" w:lineRule="auto"/>
        <w:ind w:firstLine="708"/>
        <w:jc w:val="both"/>
        <w:rPr>
          <w:rFonts w:ascii="Times New Roman" w:hAnsi="Times New Roman" w:cs="Times New Roman"/>
          <w:sz w:val="28"/>
          <w:szCs w:val="28"/>
        </w:rPr>
      </w:pPr>
      <w:r w:rsidRPr="004A5AFB">
        <w:rPr>
          <w:rFonts w:ascii="Times New Roman" w:hAnsi="Times New Roman" w:cs="Times New Roman"/>
          <w:sz w:val="28"/>
          <w:szCs w:val="28"/>
        </w:rPr>
        <w:t xml:space="preserve">Трудовой </w:t>
      </w:r>
      <w:hyperlink r:id="rId12" w:history="1">
        <w:r w:rsidRPr="004A5AFB">
          <w:rPr>
            <w:rStyle w:val="a3"/>
            <w:rFonts w:ascii="Times New Roman" w:hAnsi="Times New Roman" w:cs="Times New Roman"/>
            <w:color w:val="auto"/>
            <w:sz w:val="28"/>
            <w:szCs w:val="28"/>
          </w:rPr>
          <w:t>кодекс</w:t>
        </w:r>
      </w:hyperlink>
      <w:r w:rsidRPr="004A5AFB">
        <w:rPr>
          <w:rFonts w:ascii="Times New Roman" w:hAnsi="Times New Roman" w:cs="Times New Roman"/>
          <w:sz w:val="28"/>
          <w:szCs w:val="28"/>
        </w:rPr>
        <w:t xml:space="preserve"> РФ устанавливает, что сверхурочная работа должна быть компенсирована </w:t>
      </w:r>
      <w:proofErr w:type="gramStart"/>
      <w:r w:rsidRPr="004A5AFB">
        <w:rPr>
          <w:rFonts w:ascii="Times New Roman" w:hAnsi="Times New Roman" w:cs="Times New Roman"/>
          <w:sz w:val="28"/>
          <w:szCs w:val="28"/>
        </w:rPr>
        <w:t>работнику  предоставлением</w:t>
      </w:r>
      <w:proofErr w:type="gramEnd"/>
      <w:r w:rsidRPr="004A5AFB">
        <w:rPr>
          <w:rFonts w:ascii="Times New Roman" w:hAnsi="Times New Roman" w:cs="Times New Roman"/>
          <w:sz w:val="28"/>
          <w:szCs w:val="28"/>
        </w:rPr>
        <w:t xml:space="preserve"> другого дня отдыха или  оплатой в повышенном размере. </w:t>
      </w:r>
    </w:p>
    <w:p w:rsidR="00EE0A1D" w:rsidRPr="004A5AFB" w:rsidRDefault="00EE0A1D" w:rsidP="004A5AFB">
      <w:pPr>
        <w:spacing w:after="0" w:line="240" w:lineRule="auto"/>
        <w:ind w:firstLine="708"/>
        <w:jc w:val="both"/>
        <w:rPr>
          <w:rFonts w:ascii="Times New Roman" w:hAnsi="Times New Roman" w:cs="Times New Roman"/>
          <w:sz w:val="28"/>
          <w:szCs w:val="28"/>
        </w:rPr>
      </w:pPr>
      <w:proofErr w:type="gramStart"/>
      <w:r w:rsidRPr="004A5AFB">
        <w:rPr>
          <w:rFonts w:ascii="Times New Roman" w:hAnsi="Times New Roman" w:cs="Times New Roman"/>
          <w:sz w:val="28"/>
          <w:szCs w:val="28"/>
        </w:rPr>
        <w:t>Основой  возникновения</w:t>
      </w:r>
      <w:proofErr w:type="gramEnd"/>
      <w:r w:rsidRPr="004A5AFB">
        <w:rPr>
          <w:rFonts w:ascii="Times New Roman" w:hAnsi="Times New Roman" w:cs="Times New Roman"/>
          <w:sz w:val="28"/>
          <w:szCs w:val="28"/>
        </w:rPr>
        <w:t xml:space="preserve"> трудовых отношений является трудовой договор, который обязан  содержать условия, установленные </w:t>
      </w:r>
      <w:hyperlink r:id="rId13" w:history="1">
        <w:r w:rsidRPr="004A5AFB">
          <w:rPr>
            <w:rStyle w:val="a3"/>
            <w:rFonts w:ascii="Times New Roman" w:hAnsi="Times New Roman" w:cs="Times New Roman"/>
            <w:color w:val="auto"/>
            <w:sz w:val="28"/>
            <w:szCs w:val="28"/>
          </w:rPr>
          <w:t>ст. 57</w:t>
        </w:r>
      </w:hyperlink>
      <w:r w:rsidRPr="004A5AFB">
        <w:rPr>
          <w:rFonts w:ascii="Times New Roman" w:hAnsi="Times New Roman" w:cs="Times New Roman"/>
          <w:sz w:val="28"/>
          <w:szCs w:val="28"/>
        </w:rPr>
        <w:t xml:space="preserve"> ТК РФ   и отражать  достигнутые договоренности сторон. Поэтому </w:t>
      </w:r>
      <w:proofErr w:type="gramStart"/>
      <w:r w:rsidRPr="004A5AFB">
        <w:rPr>
          <w:rFonts w:ascii="Times New Roman" w:hAnsi="Times New Roman" w:cs="Times New Roman"/>
          <w:sz w:val="28"/>
          <w:szCs w:val="28"/>
        </w:rPr>
        <w:t>работодателю  так</w:t>
      </w:r>
      <w:proofErr w:type="gramEnd"/>
      <w:r w:rsidRPr="004A5AFB">
        <w:rPr>
          <w:rFonts w:ascii="Times New Roman" w:hAnsi="Times New Roman" w:cs="Times New Roman"/>
          <w:sz w:val="28"/>
          <w:szCs w:val="28"/>
        </w:rPr>
        <w:t xml:space="preserve"> важно  соблюдать требования, предъявляемые </w:t>
      </w:r>
      <w:hyperlink r:id="rId14" w:history="1">
        <w:r w:rsidRPr="004A5AFB">
          <w:rPr>
            <w:rStyle w:val="a3"/>
            <w:rFonts w:ascii="Times New Roman" w:hAnsi="Times New Roman" w:cs="Times New Roman"/>
            <w:color w:val="auto"/>
            <w:sz w:val="28"/>
            <w:szCs w:val="28"/>
          </w:rPr>
          <w:t>ТК</w:t>
        </w:r>
      </w:hyperlink>
      <w:r w:rsidRPr="004A5AFB">
        <w:rPr>
          <w:rFonts w:ascii="Times New Roman" w:hAnsi="Times New Roman" w:cs="Times New Roman"/>
          <w:sz w:val="28"/>
          <w:szCs w:val="28"/>
        </w:rPr>
        <w:t xml:space="preserve"> РФ к данному документу. Необходимо правильно определять место работы, чтобы в последующем не возникало проблем с перемещением работника в другое структурное подразделение в порядке </w:t>
      </w:r>
      <w:hyperlink r:id="rId15" w:history="1">
        <w:r w:rsidRPr="004A5AFB">
          <w:rPr>
            <w:rStyle w:val="a3"/>
            <w:rFonts w:ascii="Times New Roman" w:hAnsi="Times New Roman" w:cs="Times New Roman"/>
            <w:color w:val="auto"/>
            <w:sz w:val="28"/>
            <w:szCs w:val="28"/>
          </w:rPr>
          <w:t>ст. 72.1</w:t>
        </w:r>
      </w:hyperlink>
      <w:r w:rsidRPr="004A5AFB">
        <w:rPr>
          <w:rFonts w:ascii="Times New Roman" w:hAnsi="Times New Roman" w:cs="Times New Roman"/>
          <w:sz w:val="28"/>
          <w:szCs w:val="28"/>
        </w:rPr>
        <w:t xml:space="preserve"> ТК РФ.  Представляется, что   работодателю следует активнее пользоваться правом при приеме на работу устанавливать </w:t>
      </w:r>
      <w:proofErr w:type="gramStart"/>
      <w:r w:rsidRPr="004A5AFB">
        <w:rPr>
          <w:rFonts w:ascii="Times New Roman" w:hAnsi="Times New Roman" w:cs="Times New Roman"/>
          <w:sz w:val="28"/>
          <w:szCs w:val="28"/>
        </w:rPr>
        <w:t>условие  об</w:t>
      </w:r>
      <w:proofErr w:type="gramEnd"/>
      <w:r w:rsidRPr="004A5AFB">
        <w:rPr>
          <w:rFonts w:ascii="Times New Roman" w:hAnsi="Times New Roman" w:cs="Times New Roman"/>
          <w:sz w:val="28"/>
          <w:szCs w:val="28"/>
        </w:rPr>
        <w:t xml:space="preserve"> испытательном сроке, чтобы в случае необходимости иметь возможность безболезненно расставаться с неподходящим работником.   </w:t>
      </w:r>
    </w:p>
    <w:p w:rsidR="00EE0A1D" w:rsidRPr="004A5AFB" w:rsidRDefault="00EE0A1D" w:rsidP="004A5AFB">
      <w:pPr>
        <w:spacing w:after="0" w:line="240" w:lineRule="auto"/>
        <w:jc w:val="both"/>
        <w:rPr>
          <w:rFonts w:ascii="Times New Roman" w:hAnsi="Times New Roman" w:cs="Times New Roman"/>
          <w:sz w:val="28"/>
          <w:szCs w:val="28"/>
        </w:rPr>
      </w:pPr>
      <w:r w:rsidRPr="004A5AFB">
        <w:rPr>
          <w:rFonts w:ascii="Times New Roman" w:hAnsi="Times New Roman" w:cs="Times New Roman"/>
          <w:sz w:val="28"/>
          <w:szCs w:val="28"/>
        </w:rPr>
        <w:t xml:space="preserve">        В этом направлении   чаще всего    </w:t>
      </w:r>
      <w:proofErr w:type="gramStart"/>
      <w:r w:rsidRPr="004A5AFB">
        <w:rPr>
          <w:rFonts w:ascii="Times New Roman" w:hAnsi="Times New Roman" w:cs="Times New Roman"/>
          <w:sz w:val="28"/>
          <w:szCs w:val="28"/>
        </w:rPr>
        <w:t>выявляются  такие</w:t>
      </w:r>
      <w:proofErr w:type="gramEnd"/>
      <w:r w:rsidRPr="004A5AFB">
        <w:rPr>
          <w:rFonts w:ascii="Times New Roman" w:hAnsi="Times New Roman" w:cs="Times New Roman"/>
          <w:sz w:val="28"/>
          <w:szCs w:val="28"/>
        </w:rPr>
        <w:t xml:space="preserve"> нарушения:</w:t>
      </w:r>
    </w:p>
    <w:p w:rsidR="00EE0A1D" w:rsidRPr="004A5AFB" w:rsidRDefault="00EE0A1D" w:rsidP="004A5AFB">
      <w:pPr>
        <w:spacing w:after="0" w:line="240" w:lineRule="auto"/>
        <w:jc w:val="both"/>
        <w:rPr>
          <w:rFonts w:ascii="Times New Roman" w:hAnsi="Times New Roman" w:cs="Times New Roman"/>
          <w:sz w:val="28"/>
          <w:szCs w:val="28"/>
        </w:rPr>
      </w:pPr>
      <w:r w:rsidRPr="004A5AFB">
        <w:rPr>
          <w:rFonts w:ascii="Times New Roman" w:hAnsi="Times New Roman" w:cs="Times New Roman"/>
          <w:sz w:val="28"/>
          <w:szCs w:val="28"/>
        </w:rPr>
        <w:t>- отсутствие письменного оформления трудовых отношений между работником и работодателем;</w:t>
      </w:r>
    </w:p>
    <w:p w:rsidR="00EE0A1D" w:rsidRPr="004A5AFB" w:rsidRDefault="00EE0A1D" w:rsidP="004A5AFB">
      <w:pPr>
        <w:spacing w:after="0" w:line="240" w:lineRule="auto"/>
        <w:jc w:val="both"/>
        <w:rPr>
          <w:rFonts w:ascii="Times New Roman" w:hAnsi="Times New Roman" w:cs="Times New Roman"/>
          <w:sz w:val="28"/>
          <w:szCs w:val="28"/>
        </w:rPr>
      </w:pPr>
      <w:r w:rsidRPr="004A5AFB">
        <w:rPr>
          <w:rFonts w:ascii="Times New Roman" w:hAnsi="Times New Roman" w:cs="Times New Roman"/>
          <w:sz w:val="28"/>
          <w:szCs w:val="28"/>
        </w:rPr>
        <w:t>- отсутствие в трудовом договоре обязательных для включения в трудовой договор условий труда;</w:t>
      </w:r>
    </w:p>
    <w:p w:rsidR="00EE0A1D" w:rsidRPr="004A5AFB" w:rsidRDefault="00EE0A1D" w:rsidP="004A5AFB">
      <w:pPr>
        <w:spacing w:after="0" w:line="240" w:lineRule="auto"/>
        <w:jc w:val="both"/>
        <w:rPr>
          <w:rFonts w:ascii="Times New Roman" w:hAnsi="Times New Roman" w:cs="Times New Roman"/>
          <w:sz w:val="28"/>
          <w:szCs w:val="28"/>
        </w:rPr>
      </w:pPr>
      <w:r w:rsidRPr="004A5AFB">
        <w:rPr>
          <w:rFonts w:ascii="Times New Roman" w:hAnsi="Times New Roman" w:cs="Times New Roman"/>
          <w:sz w:val="28"/>
          <w:szCs w:val="28"/>
        </w:rPr>
        <w:t>- заключение договоров гражданско-правового характера с лицами, фактически состоящими в трудовых отношениях с работодателем (характерно для организаций частной формы собственности);</w:t>
      </w:r>
    </w:p>
    <w:p w:rsidR="00EE0A1D" w:rsidRPr="004A5AFB" w:rsidRDefault="00EE0A1D" w:rsidP="004A5AFB">
      <w:pPr>
        <w:spacing w:after="0" w:line="240" w:lineRule="auto"/>
        <w:jc w:val="both"/>
        <w:rPr>
          <w:rFonts w:ascii="Times New Roman" w:hAnsi="Times New Roman" w:cs="Times New Roman"/>
          <w:sz w:val="28"/>
          <w:szCs w:val="28"/>
        </w:rPr>
      </w:pPr>
      <w:r w:rsidRPr="004A5AFB">
        <w:rPr>
          <w:rFonts w:ascii="Times New Roman" w:hAnsi="Times New Roman" w:cs="Times New Roman"/>
          <w:sz w:val="28"/>
          <w:szCs w:val="28"/>
        </w:rPr>
        <w:lastRenderedPageBreak/>
        <w:t xml:space="preserve">- несвоевременность заключения трудового договора: </w:t>
      </w:r>
      <w:proofErr w:type="gramStart"/>
      <w:r w:rsidRPr="004A5AFB">
        <w:rPr>
          <w:rFonts w:ascii="Times New Roman" w:hAnsi="Times New Roman" w:cs="Times New Roman"/>
          <w:sz w:val="28"/>
          <w:szCs w:val="28"/>
        </w:rPr>
        <w:t>например,  трудовой</w:t>
      </w:r>
      <w:proofErr w:type="gramEnd"/>
      <w:r w:rsidRPr="004A5AFB">
        <w:rPr>
          <w:rFonts w:ascii="Times New Roman" w:hAnsi="Times New Roman" w:cs="Times New Roman"/>
          <w:sz w:val="28"/>
          <w:szCs w:val="28"/>
        </w:rPr>
        <w:t xml:space="preserve"> договор в письменной форме с работниками заключался с нарушением срока, установленного </w:t>
      </w:r>
      <w:hyperlink r:id="rId16" w:history="1">
        <w:r w:rsidRPr="004A5AFB">
          <w:rPr>
            <w:rStyle w:val="a3"/>
            <w:rFonts w:ascii="Times New Roman" w:hAnsi="Times New Roman" w:cs="Times New Roman"/>
            <w:color w:val="auto"/>
            <w:sz w:val="28"/>
            <w:szCs w:val="28"/>
          </w:rPr>
          <w:t>ст. 67</w:t>
        </w:r>
      </w:hyperlink>
      <w:r w:rsidRPr="004A5AFB">
        <w:rPr>
          <w:rFonts w:ascii="Times New Roman" w:hAnsi="Times New Roman" w:cs="Times New Roman"/>
          <w:sz w:val="28"/>
          <w:szCs w:val="28"/>
        </w:rPr>
        <w:t xml:space="preserve"> ТК РФ (более чем в течение трех дней со дня фактического допущения к работе); </w:t>
      </w:r>
    </w:p>
    <w:p w:rsidR="00EE0A1D" w:rsidRPr="004A5AFB" w:rsidRDefault="00EE0A1D" w:rsidP="004A5AFB">
      <w:pPr>
        <w:spacing w:after="0" w:line="240" w:lineRule="auto"/>
        <w:jc w:val="both"/>
        <w:rPr>
          <w:rFonts w:ascii="Times New Roman" w:hAnsi="Times New Roman" w:cs="Times New Roman"/>
          <w:sz w:val="28"/>
          <w:szCs w:val="28"/>
        </w:rPr>
      </w:pPr>
      <w:r w:rsidRPr="004A5AFB">
        <w:rPr>
          <w:rFonts w:ascii="Times New Roman" w:hAnsi="Times New Roman" w:cs="Times New Roman"/>
          <w:sz w:val="28"/>
          <w:szCs w:val="28"/>
        </w:rPr>
        <w:t xml:space="preserve">- нарушение требований законодательства об ограничении срока действия трудового договора. Срочные трудовые договоры заключаются на работы, носящие постоянный характер, без учета интересов работника и без достаточных оснований (нарушение </w:t>
      </w:r>
      <w:hyperlink r:id="rId17" w:history="1">
        <w:r w:rsidRPr="004A5AFB">
          <w:rPr>
            <w:rStyle w:val="a3"/>
            <w:rFonts w:ascii="Times New Roman" w:hAnsi="Times New Roman" w:cs="Times New Roman"/>
            <w:color w:val="auto"/>
            <w:sz w:val="28"/>
            <w:szCs w:val="28"/>
          </w:rPr>
          <w:t>ст. ст. 58</w:t>
        </w:r>
      </w:hyperlink>
      <w:r w:rsidRPr="004A5AFB">
        <w:rPr>
          <w:rFonts w:ascii="Times New Roman" w:hAnsi="Times New Roman" w:cs="Times New Roman"/>
          <w:sz w:val="28"/>
          <w:szCs w:val="28"/>
        </w:rPr>
        <w:t xml:space="preserve">, </w:t>
      </w:r>
      <w:hyperlink r:id="rId18" w:history="1">
        <w:r w:rsidRPr="004A5AFB">
          <w:rPr>
            <w:rStyle w:val="a3"/>
            <w:rFonts w:ascii="Times New Roman" w:hAnsi="Times New Roman" w:cs="Times New Roman"/>
            <w:color w:val="auto"/>
            <w:sz w:val="28"/>
            <w:szCs w:val="28"/>
          </w:rPr>
          <w:t>59</w:t>
        </w:r>
      </w:hyperlink>
      <w:r w:rsidRPr="004A5AFB">
        <w:rPr>
          <w:rFonts w:ascii="Times New Roman" w:hAnsi="Times New Roman" w:cs="Times New Roman"/>
          <w:sz w:val="28"/>
          <w:szCs w:val="28"/>
        </w:rPr>
        <w:t xml:space="preserve"> ТК РФ);</w:t>
      </w:r>
    </w:p>
    <w:p w:rsidR="00EE0A1D" w:rsidRDefault="00EE0A1D" w:rsidP="004A5AFB">
      <w:pPr>
        <w:spacing w:after="0" w:line="240" w:lineRule="auto"/>
        <w:jc w:val="both"/>
        <w:rPr>
          <w:rFonts w:ascii="Times New Roman" w:hAnsi="Times New Roman" w:cs="Times New Roman"/>
          <w:b/>
          <w:sz w:val="28"/>
          <w:szCs w:val="28"/>
        </w:rPr>
      </w:pPr>
      <w:r w:rsidRPr="004A5AFB">
        <w:rPr>
          <w:rFonts w:ascii="Times New Roman" w:hAnsi="Times New Roman" w:cs="Times New Roman"/>
          <w:sz w:val="28"/>
          <w:szCs w:val="28"/>
        </w:rPr>
        <w:t xml:space="preserve">- нарушения </w:t>
      </w:r>
      <w:hyperlink r:id="rId19" w:history="1">
        <w:r w:rsidRPr="004A5AFB">
          <w:rPr>
            <w:rStyle w:val="a3"/>
            <w:rFonts w:ascii="Times New Roman" w:hAnsi="Times New Roman" w:cs="Times New Roman"/>
            <w:color w:val="auto"/>
            <w:sz w:val="28"/>
            <w:szCs w:val="28"/>
          </w:rPr>
          <w:t>ст. 74</w:t>
        </w:r>
      </w:hyperlink>
      <w:r w:rsidRPr="004A5AFB">
        <w:rPr>
          <w:rFonts w:ascii="Times New Roman" w:hAnsi="Times New Roman" w:cs="Times New Roman"/>
          <w:sz w:val="28"/>
          <w:szCs w:val="28"/>
        </w:rPr>
        <w:t xml:space="preserve"> ТК РФ </w:t>
      </w:r>
      <w:hyperlink r:id="rId20" w:history="1">
        <w:r w:rsidRPr="004A5AFB">
          <w:rPr>
            <w:rStyle w:val="a3"/>
            <w:rFonts w:ascii="Times New Roman" w:hAnsi="Times New Roman" w:cs="Times New Roman"/>
            <w:color w:val="auto"/>
            <w:sz w:val="28"/>
            <w:szCs w:val="28"/>
          </w:rPr>
          <w:t>ст. 72</w:t>
        </w:r>
      </w:hyperlink>
      <w:r w:rsidRPr="004A5AFB">
        <w:rPr>
          <w:rFonts w:ascii="Times New Roman" w:hAnsi="Times New Roman" w:cs="Times New Roman"/>
          <w:sz w:val="28"/>
          <w:szCs w:val="28"/>
        </w:rPr>
        <w:t xml:space="preserve"> ТК РФ при осуществлении переводов </w:t>
      </w:r>
      <w:proofErr w:type="gramStart"/>
      <w:r w:rsidRPr="004A5AFB">
        <w:rPr>
          <w:rFonts w:ascii="Times New Roman" w:hAnsi="Times New Roman" w:cs="Times New Roman"/>
          <w:sz w:val="28"/>
          <w:szCs w:val="28"/>
        </w:rPr>
        <w:t xml:space="preserve">работников;   </w:t>
      </w:r>
      <w:proofErr w:type="gramEnd"/>
      <w:r w:rsidRPr="004A5AFB">
        <w:rPr>
          <w:rFonts w:ascii="Times New Roman" w:hAnsi="Times New Roman" w:cs="Times New Roman"/>
          <w:sz w:val="28"/>
          <w:szCs w:val="28"/>
        </w:rPr>
        <w:t xml:space="preserve">при изменении определенных сторонами условий трудового договора. </w:t>
      </w:r>
      <w:r w:rsidRPr="004A5AFB">
        <w:rPr>
          <w:rFonts w:ascii="Times New Roman" w:hAnsi="Times New Roman" w:cs="Times New Roman"/>
          <w:b/>
          <w:sz w:val="28"/>
          <w:szCs w:val="28"/>
        </w:rPr>
        <w:t xml:space="preserve"> </w:t>
      </w:r>
    </w:p>
    <w:p w:rsidR="00F03E3C" w:rsidRPr="004A5AFB" w:rsidRDefault="00F03E3C" w:rsidP="004A5AFB">
      <w:pPr>
        <w:spacing w:after="0" w:line="240" w:lineRule="auto"/>
        <w:jc w:val="both"/>
        <w:rPr>
          <w:rFonts w:ascii="Times New Roman" w:hAnsi="Times New Roman" w:cs="Times New Roman"/>
          <w:sz w:val="28"/>
          <w:szCs w:val="28"/>
        </w:rPr>
      </w:pPr>
    </w:p>
    <w:p w:rsidR="00F03E3C" w:rsidRPr="0027167E" w:rsidRDefault="00F03E3C" w:rsidP="00F03E3C">
      <w:pPr>
        <w:pStyle w:val="a4"/>
        <w:tabs>
          <w:tab w:val="left" w:pos="993"/>
        </w:tabs>
        <w:suppressAutoHyphens/>
        <w:ind w:left="142" w:firstLine="567"/>
        <w:jc w:val="both"/>
        <w:rPr>
          <w:rFonts w:ascii="Times New Roman" w:hAnsi="Times New Roman"/>
          <w:sz w:val="28"/>
          <w:szCs w:val="28"/>
          <w:lang w:val="ru-RU"/>
        </w:rPr>
      </w:pPr>
      <w:r w:rsidRPr="0027167E">
        <w:rPr>
          <w:rFonts w:ascii="Times New Roman" w:hAnsi="Times New Roman"/>
          <w:sz w:val="28"/>
          <w:szCs w:val="28"/>
        </w:rPr>
        <w:t xml:space="preserve">Пунктом 13 Рекомендации № 162 «О пожилых трудящихся», утвержденной Международной организацией труда от 23 июня 1980 г. работодателям, для улучшения условий труда работников </w:t>
      </w:r>
      <w:proofErr w:type="spellStart"/>
      <w:r w:rsidRPr="0027167E">
        <w:rPr>
          <w:rFonts w:ascii="Times New Roman" w:hAnsi="Times New Roman"/>
          <w:sz w:val="28"/>
          <w:szCs w:val="28"/>
        </w:rPr>
        <w:t>предпенсионного</w:t>
      </w:r>
      <w:proofErr w:type="spellEnd"/>
      <w:r w:rsidRPr="0027167E">
        <w:rPr>
          <w:rFonts w:ascii="Times New Roman" w:hAnsi="Times New Roman"/>
          <w:sz w:val="28"/>
          <w:szCs w:val="28"/>
        </w:rPr>
        <w:t xml:space="preserve"> возраста, РЕКОМЕНДУЕТСЯ</w:t>
      </w:r>
      <w:r>
        <w:rPr>
          <w:rFonts w:ascii="Times New Roman" w:hAnsi="Times New Roman"/>
          <w:sz w:val="28"/>
          <w:szCs w:val="28"/>
          <w:lang w:val="ru-RU"/>
        </w:rPr>
        <w:t>:</w:t>
      </w:r>
    </w:p>
    <w:p w:rsidR="00F03E3C" w:rsidRPr="0027167E" w:rsidRDefault="00F03E3C" w:rsidP="00F03E3C">
      <w:pPr>
        <w:pStyle w:val="a4"/>
        <w:suppressAutoHyphens/>
        <w:ind w:left="0" w:firstLine="709"/>
        <w:jc w:val="both"/>
        <w:rPr>
          <w:rFonts w:ascii="Times New Roman" w:hAnsi="Times New Roman"/>
          <w:sz w:val="28"/>
          <w:szCs w:val="28"/>
          <w:lang w:val="ru-RU"/>
        </w:rPr>
      </w:pPr>
      <w:proofErr w:type="gramStart"/>
      <w:r w:rsidRPr="0027167E">
        <w:rPr>
          <w:rFonts w:ascii="Times New Roman" w:hAnsi="Times New Roman"/>
          <w:sz w:val="28"/>
          <w:szCs w:val="28"/>
          <w:lang w:val="ru-RU"/>
        </w:rPr>
        <w:t>изменять</w:t>
      </w:r>
      <w:proofErr w:type="gramEnd"/>
      <w:r w:rsidRPr="0027167E">
        <w:rPr>
          <w:rFonts w:ascii="Times New Roman" w:hAnsi="Times New Roman"/>
          <w:sz w:val="28"/>
          <w:szCs w:val="28"/>
          <w:lang w:val="ru-RU"/>
        </w:rPr>
        <w:t xml:space="preserve"> формы организации труда, если они ведут к чрезмерному напряжению пожилых работников, в частности, путем ограничения сверхурочной работы;</w:t>
      </w:r>
    </w:p>
    <w:p w:rsidR="00F03E3C" w:rsidRPr="0027167E" w:rsidRDefault="00F03E3C" w:rsidP="00F03E3C">
      <w:pPr>
        <w:pStyle w:val="a4"/>
        <w:suppressAutoHyphens/>
        <w:ind w:left="0" w:firstLine="709"/>
        <w:jc w:val="both"/>
        <w:rPr>
          <w:rFonts w:ascii="Times New Roman" w:hAnsi="Times New Roman"/>
          <w:sz w:val="28"/>
          <w:szCs w:val="28"/>
          <w:lang w:val="ru-RU"/>
        </w:rPr>
      </w:pPr>
      <w:proofErr w:type="gramStart"/>
      <w:r w:rsidRPr="0027167E">
        <w:rPr>
          <w:rFonts w:ascii="Times New Roman" w:hAnsi="Times New Roman"/>
          <w:sz w:val="28"/>
          <w:szCs w:val="28"/>
          <w:lang w:val="ru-RU"/>
        </w:rPr>
        <w:t>приспосабливать</w:t>
      </w:r>
      <w:proofErr w:type="gramEnd"/>
      <w:r w:rsidRPr="0027167E">
        <w:rPr>
          <w:rFonts w:ascii="Times New Roman" w:hAnsi="Times New Roman"/>
          <w:sz w:val="28"/>
          <w:szCs w:val="28"/>
          <w:lang w:val="ru-RU"/>
        </w:rPr>
        <w:t xml:space="preserve"> рабочее место и задания к возможностям трудящегося лица </w:t>
      </w:r>
      <w:proofErr w:type="spellStart"/>
      <w:r w:rsidRPr="0027167E">
        <w:rPr>
          <w:rFonts w:ascii="Times New Roman" w:hAnsi="Times New Roman"/>
          <w:sz w:val="28"/>
          <w:szCs w:val="28"/>
          <w:lang w:val="ru-RU"/>
        </w:rPr>
        <w:t>предпенсионного</w:t>
      </w:r>
      <w:proofErr w:type="spellEnd"/>
      <w:r w:rsidRPr="0027167E">
        <w:rPr>
          <w:rFonts w:ascii="Times New Roman" w:hAnsi="Times New Roman"/>
          <w:sz w:val="28"/>
          <w:szCs w:val="28"/>
          <w:lang w:val="ru-RU"/>
        </w:rPr>
        <w:t xml:space="preserve"> возраста, используя все имеющиеся технические средства и, в частности, принципы эргономики, чтобы сохранить здоровье и работоспособность и предупредить несчастные случаи;</w:t>
      </w:r>
    </w:p>
    <w:p w:rsidR="00F03E3C" w:rsidRPr="0027167E" w:rsidRDefault="00F03E3C" w:rsidP="00F03E3C">
      <w:pPr>
        <w:pStyle w:val="a4"/>
        <w:suppressAutoHyphens/>
        <w:ind w:left="0" w:firstLine="709"/>
        <w:jc w:val="both"/>
        <w:rPr>
          <w:rFonts w:ascii="Times New Roman" w:hAnsi="Times New Roman"/>
          <w:sz w:val="28"/>
          <w:szCs w:val="28"/>
          <w:lang w:val="ru-RU"/>
        </w:rPr>
      </w:pPr>
      <w:proofErr w:type="gramStart"/>
      <w:r w:rsidRPr="0027167E">
        <w:rPr>
          <w:rFonts w:ascii="Times New Roman" w:hAnsi="Times New Roman"/>
          <w:sz w:val="28"/>
          <w:szCs w:val="28"/>
          <w:lang w:val="ru-RU"/>
        </w:rPr>
        <w:t>организовать</w:t>
      </w:r>
      <w:proofErr w:type="gramEnd"/>
      <w:r w:rsidRPr="0027167E">
        <w:rPr>
          <w:rFonts w:ascii="Times New Roman" w:hAnsi="Times New Roman"/>
          <w:sz w:val="28"/>
          <w:szCs w:val="28"/>
          <w:lang w:val="ru-RU"/>
        </w:rPr>
        <w:t xml:space="preserve"> систематический контроль состояния здоровья пожилых работников;</w:t>
      </w:r>
    </w:p>
    <w:p w:rsidR="00F03E3C" w:rsidRDefault="00F03E3C" w:rsidP="00F03E3C">
      <w:pPr>
        <w:pStyle w:val="a4"/>
        <w:suppressAutoHyphens/>
        <w:ind w:left="0" w:firstLine="709"/>
        <w:jc w:val="both"/>
        <w:rPr>
          <w:rFonts w:ascii="Times New Roman" w:hAnsi="Times New Roman"/>
          <w:sz w:val="28"/>
          <w:szCs w:val="28"/>
          <w:lang w:val="ru-RU"/>
        </w:rPr>
      </w:pPr>
      <w:proofErr w:type="gramStart"/>
      <w:r w:rsidRPr="0027167E">
        <w:rPr>
          <w:rFonts w:ascii="Times New Roman" w:hAnsi="Times New Roman"/>
          <w:sz w:val="28"/>
          <w:szCs w:val="28"/>
          <w:lang w:val="ru-RU"/>
        </w:rPr>
        <w:t>обеспечить</w:t>
      </w:r>
      <w:proofErr w:type="gramEnd"/>
      <w:r w:rsidRPr="0027167E">
        <w:rPr>
          <w:rFonts w:ascii="Times New Roman" w:hAnsi="Times New Roman"/>
          <w:sz w:val="28"/>
          <w:szCs w:val="28"/>
          <w:lang w:val="ru-RU"/>
        </w:rPr>
        <w:t xml:space="preserve"> безопасность и гигиену труда работников </w:t>
      </w:r>
      <w:proofErr w:type="spellStart"/>
      <w:r w:rsidRPr="0027167E">
        <w:rPr>
          <w:rFonts w:ascii="Times New Roman" w:hAnsi="Times New Roman"/>
          <w:sz w:val="28"/>
          <w:szCs w:val="28"/>
          <w:lang w:val="ru-RU"/>
        </w:rPr>
        <w:t>предпенсионного</w:t>
      </w:r>
      <w:proofErr w:type="spellEnd"/>
      <w:r w:rsidRPr="0027167E">
        <w:rPr>
          <w:rFonts w:ascii="Times New Roman" w:hAnsi="Times New Roman"/>
          <w:sz w:val="28"/>
          <w:szCs w:val="28"/>
          <w:lang w:val="ru-RU"/>
        </w:rPr>
        <w:t xml:space="preserve"> возраста.</w:t>
      </w:r>
    </w:p>
    <w:p w:rsidR="00F03E3C" w:rsidRDefault="00F03E3C" w:rsidP="00F03E3C">
      <w:pPr>
        <w:pStyle w:val="a4"/>
        <w:suppressAutoHyphens/>
        <w:ind w:left="0" w:firstLine="709"/>
        <w:jc w:val="both"/>
        <w:rPr>
          <w:rFonts w:ascii="Times New Roman" w:hAnsi="Times New Roman"/>
          <w:sz w:val="28"/>
          <w:szCs w:val="28"/>
          <w:lang w:val="ru-RU"/>
        </w:rPr>
      </w:pPr>
      <w:r>
        <w:rPr>
          <w:rFonts w:ascii="Times New Roman" w:hAnsi="Times New Roman"/>
          <w:sz w:val="28"/>
          <w:szCs w:val="28"/>
          <w:lang w:val="ru-RU"/>
        </w:rPr>
        <w:t xml:space="preserve">Повышенные гарантии работникам </w:t>
      </w:r>
      <w:proofErr w:type="spellStart"/>
      <w:r>
        <w:rPr>
          <w:rFonts w:ascii="Times New Roman" w:hAnsi="Times New Roman"/>
          <w:sz w:val="28"/>
          <w:szCs w:val="28"/>
          <w:lang w:val="ru-RU"/>
        </w:rPr>
        <w:t>предпнсионного</w:t>
      </w:r>
      <w:proofErr w:type="spellEnd"/>
      <w:r>
        <w:rPr>
          <w:rFonts w:ascii="Times New Roman" w:hAnsi="Times New Roman"/>
          <w:sz w:val="28"/>
          <w:szCs w:val="28"/>
          <w:lang w:val="ru-RU"/>
        </w:rPr>
        <w:t xml:space="preserve"> возраста по сравнению с обычными работниками могут быть предусмотрены коллективным договором, соглашением, локальными нормативными актами, трудовым договором.</w:t>
      </w:r>
    </w:p>
    <w:p w:rsidR="00F03E3C" w:rsidRDefault="00F03E3C" w:rsidP="00F03E3C">
      <w:pPr>
        <w:pStyle w:val="a4"/>
        <w:suppressAutoHyphens/>
        <w:ind w:left="0" w:firstLine="709"/>
        <w:jc w:val="both"/>
        <w:rPr>
          <w:rFonts w:ascii="Times New Roman" w:hAnsi="Times New Roman"/>
          <w:sz w:val="28"/>
          <w:szCs w:val="28"/>
          <w:lang w:val="ru-RU"/>
        </w:rPr>
      </w:pPr>
    </w:p>
    <w:p w:rsidR="00F03E3C" w:rsidRPr="006E3B1B" w:rsidRDefault="00F03E3C" w:rsidP="00F03E3C">
      <w:pPr>
        <w:pStyle w:val="a4"/>
        <w:suppressAutoHyphens/>
        <w:ind w:left="0" w:firstLine="720"/>
        <w:jc w:val="both"/>
        <w:rPr>
          <w:rFonts w:ascii="Times New Roman" w:hAnsi="Times New Roman"/>
          <w:sz w:val="28"/>
          <w:szCs w:val="28"/>
          <w:lang w:val="ru-RU"/>
        </w:rPr>
      </w:pPr>
      <w:r w:rsidRPr="006E3B1B">
        <w:rPr>
          <w:rFonts w:ascii="Times New Roman" w:hAnsi="Times New Roman"/>
          <w:bCs/>
          <w:sz w:val="28"/>
          <w:szCs w:val="28"/>
        </w:rPr>
        <w:t>С 1 июля 2018 года согласно приказа Федеральной службы по труду и занятости от 10 ноября 2017 года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все ПЛАНОВЫЕ проверки проводятся с использованием проверочных листов</w:t>
      </w:r>
      <w:r>
        <w:rPr>
          <w:rFonts w:ascii="Times New Roman" w:hAnsi="Times New Roman"/>
          <w:bCs/>
          <w:sz w:val="28"/>
          <w:szCs w:val="28"/>
          <w:lang w:val="ru-RU"/>
        </w:rPr>
        <w:t>.</w:t>
      </w:r>
    </w:p>
    <w:p w:rsidR="00F03E3C" w:rsidRDefault="00F03E3C" w:rsidP="00F03E3C">
      <w:pPr>
        <w:pStyle w:val="a4"/>
        <w:suppressAutoHyphens/>
        <w:ind w:left="0" w:firstLine="709"/>
        <w:jc w:val="both"/>
        <w:rPr>
          <w:rFonts w:ascii="Times New Roman" w:hAnsi="Times New Roman"/>
          <w:sz w:val="28"/>
          <w:szCs w:val="28"/>
          <w:lang w:val="ru-RU"/>
        </w:rPr>
      </w:pPr>
    </w:p>
    <w:p w:rsidR="00EE0A1D" w:rsidRPr="004A5AFB" w:rsidRDefault="00EE0A1D" w:rsidP="004A5AFB">
      <w:pPr>
        <w:spacing w:after="0" w:line="240" w:lineRule="auto"/>
        <w:jc w:val="both"/>
        <w:rPr>
          <w:rFonts w:ascii="Times New Roman" w:hAnsi="Times New Roman" w:cs="Times New Roman"/>
          <w:sz w:val="28"/>
          <w:szCs w:val="28"/>
        </w:rPr>
      </w:pPr>
    </w:p>
    <w:p w:rsidR="004A5AFB" w:rsidRPr="004A5AFB" w:rsidRDefault="00F03E3C" w:rsidP="004A5AF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2</w:t>
      </w:r>
      <w:r w:rsidR="004A5AFB" w:rsidRPr="004A5AFB">
        <w:rPr>
          <w:rFonts w:ascii="Times New Roman" w:hAnsi="Times New Roman" w:cs="Times New Roman"/>
          <w:b/>
          <w:sz w:val="28"/>
          <w:szCs w:val="28"/>
        </w:rPr>
        <w:t>. О ПРИМЕНЕНИИ РИСК-ОРИЕНТИРОВАННОГО ПОДХОДА</w:t>
      </w:r>
    </w:p>
    <w:p w:rsidR="004A5AFB" w:rsidRPr="004A5AFB" w:rsidRDefault="004A5AFB" w:rsidP="004A5AFB">
      <w:pPr>
        <w:spacing w:after="0" w:line="240" w:lineRule="auto"/>
        <w:rPr>
          <w:rFonts w:ascii="Times New Roman" w:hAnsi="Times New Roman" w:cs="Times New Roman"/>
          <w:sz w:val="28"/>
          <w:szCs w:val="28"/>
        </w:rPr>
      </w:pPr>
    </w:p>
    <w:p w:rsidR="004A5AFB" w:rsidRPr="004A5AFB" w:rsidRDefault="004A5AFB" w:rsidP="004A5AFB">
      <w:pPr>
        <w:pStyle w:val="20"/>
        <w:shd w:val="clear" w:color="auto" w:fill="auto"/>
        <w:spacing w:after="0" w:line="240" w:lineRule="auto"/>
        <w:ind w:firstLine="709"/>
        <w:jc w:val="both"/>
        <w:rPr>
          <w:rFonts w:ascii="Times New Roman" w:hAnsi="Times New Roman" w:cs="Times New Roman"/>
          <w:sz w:val="28"/>
          <w:szCs w:val="28"/>
        </w:rPr>
      </w:pPr>
      <w:r w:rsidRPr="004A5AFB">
        <w:rPr>
          <w:rFonts w:ascii="Times New Roman" w:hAnsi="Times New Roman" w:cs="Times New Roman"/>
          <w:sz w:val="28"/>
          <w:szCs w:val="28"/>
        </w:rPr>
        <w:t>Вступили в силу положения части 8 статьи 8.1 Федерального закона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об использовании индикаторов риска нарушения обязательных требований.</w:t>
      </w:r>
    </w:p>
    <w:p w:rsidR="004A5AFB" w:rsidRPr="004A5AFB" w:rsidRDefault="004A5AFB" w:rsidP="004A5AFB">
      <w:pPr>
        <w:pStyle w:val="ConsPlusNormal"/>
        <w:ind w:firstLine="709"/>
        <w:jc w:val="both"/>
      </w:pPr>
      <w:r w:rsidRPr="004A5AFB">
        <w:t>Постановлением Правительства России от 16 февраля 2017 г. № 197 утверждены изменения, в соответствии с которыми федеральный государственный надзор в сфере труда осуществляется с применением риск-ориентированного подхода в соответствии с Правилами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утвержденными постановлением Правительства России от 17 августа 2016 г. № 806.</w:t>
      </w:r>
    </w:p>
    <w:p w:rsidR="004A5AFB" w:rsidRPr="004A5AFB" w:rsidRDefault="004A5AFB" w:rsidP="004A5AFB">
      <w:pPr>
        <w:pStyle w:val="20"/>
        <w:shd w:val="clear" w:color="auto" w:fill="auto"/>
        <w:spacing w:after="0" w:line="240" w:lineRule="auto"/>
        <w:ind w:firstLine="709"/>
        <w:jc w:val="both"/>
        <w:rPr>
          <w:rFonts w:ascii="Times New Roman" w:hAnsi="Times New Roman" w:cs="Times New Roman"/>
          <w:sz w:val="28"/>
          <w:szCs w:val="28"/>
        </w:rPr>
      </w:pPr>
      <w:r w:rsidRPr="004A5AFB">
        <w:rPr>
          <w:rFonts w:ascii="Times New Roman" w:hAnsi="Times New Roman" w:cs="Times New Roman"/>
          <w:sz w:val="28"/>
          <w:szCs w:val="28"/>
        </w:rPr>
        <w:t xml:space="preserve">В этой связи </w:t>
      </w:r>
      <w:proofErr w:type="spellStart"/>
      <w:r w:rsidRPr="004A5AFB">
        <w:rPr>
          <w:rFonts w:ascii="Times New Roman" w:hAnsi="Times New Roman" w:cs="Times New Roman"/>
          <w:sz w:val="28"/>
          <w:szCs w:val="28"/>
        </w:rPr>
        <w:t>Рострудом</w:t>
      </w:r>
      <w:proofErr w:type="spellEnd"/>
      <w:r w:rsidRPr="004A5AFB">
        <w:rPr>
          <w:rFonts w:ascii="Times New Roman" w:hAnsi="Times New Roman" w:cs="Times New Roman"/>
          <w:sz w:val="28"/>
          <w:szCs w:val="28"/>
        </w:rPr>
        <w:t xml:space="preserve"> все хозяйствующие субъекты распределяются на 5 категорий рисков.</w:t>
      </w:r>
    </w:p>
    <w:p w:rsidR="004A5AFB" w:rsidRPr="004A5AFB" w:rsidRDefault="004A5AFB" w:rsidP="004A5AFB">
      <w:pPr>
        <w:pStyle w:val="20"/>
        <w:shd w:val="clear" w:color="auto" w:fill="auto"/>
        <w:spacing w:after="0" w:line="240" w:lineRule="auto"/>
        <w:ind w:firstLine="709"/>
        <w:jc w:val="both"/>
        <w:rPr>
          <w:rFonts w:ascii="Times New Roman" w:hAnsi="Times New Roman" w:cs="Times New Roman"/>
          <w:sz w:val="28"/>
          <w:szCs w:val="28"/>
        </w:rPr>
      </w:pPr>
      <w:r w:rsidRPr="004A5AFB">
        <w:rPr>
          <w:rFonts w:ascii="Times New Roman" w:hAnsi="Times New Roman" w:cs="Times New Roman"/>
          <w:sz w:val="28"/>
          <w:szCs w:val="28"/>
        </w:rPr>
        <w:t>В зависимости от категории риска периодичность проведения плановых проверок будет составлять:</w:t>
      </w:r>
    </w:p>
    <w:p w:rsidR="004A5AFB" w:rsidRPr="004A5AFB" w:rsidRDefault="004A5AFB" w:rsidP="004A5AFB">
      <w:pPr>
        <w:pStyle w:val="20"/>
        <w:shd w:val="clear" w:color="auto" w:fill="auto"/>
        <w:tabs>
          <w:tab w:val="left" w:pos="884"/>
        </w:tabs>
        <w:spacing w:after="0" w:line="240" w:lineRule="auto"/>
        <w:ind w:firstLine="709"/>
        <w:jc w:val="both"/>
        <w:rPr>
          <w:rFonts w:ascii="Times New Roman" w:hAnsi="Times New Roman" w:cs="Times New Roman"/>
          <w:sz w:val="28"/>
          <w:szCs w:val="28"/>
        </w:rPr>
      </w:pPr>
      <w:r w:rsidRPr="004A5AFB">
        <w:rPr>
          <w:rFonts w:ascii="Times New Roman" w:hAnsi="Times New Roman" w:cs="Times New Roman"/>
          <w:sz w:val="28"/>
          <w:szCs w:val="28"/>
        </w:rPr>
        <w:t>- для категорий высокого риска -1 раза в 2 года;</w:t>
      </w:r>
    </w:p>
    <w:p w:rsidR="004A5AFB" w:rsidRPr="004A5AFB" w:rsidRDefault="004A5AFB" w:rsidP="004A5AFB">
      <w:pPr>
        <w:pStyle w:val="20"/>
        <w:shd w:val="clear" w:color="auto" w:fill="auto"/>
        <w:tabs>
          <w:tab w:val="left" w:pos="884"/>
        </w:tabs>
        <w:spacing w:after="0" w:line="240" w:lineRule="auto"/>
        <w:ind w:firstLine="709"/>
        <w:jc w:val="both"/>
        <w:rPr>
          <w:rFonts w:ascii="Times New Roman" w:hAnsi="Times New Roman" w:cs="Times New Roman"/>
          <w:sz w:val="28"/>
          <w:szCs w:val="28"/>
        </w:rPr>
      </w:pPr>
      <w:r w:rsidRPr="004A5AFB">
        <w:rPr>
          <w:rFonts w:ascii="Times New Roman" w:hAnsi="Times New Roman" w:cs="Times New Roman"/>
          <w:sz w:val="28"/>
          <w:szCs w:val="28"/>
        </w:rPr>
        <w:t>- для категорий значительного риска - 1 раз в 3 года;</w:t>
      </w:r>
    </w:p>
    <w:p w:rsidR="004A5AFB" w:rsidRPr="004A5AFB" w:rsidRDefault="004A5AFB" w:rsidP="004A5AFB">
      <w:pPr>
        <w:pStyle w:val="20"/>
        <w:shd w:val="clear" w:color="auto" w:fill="auto"/>
        <w:tabs>
          <w:tab w:val="left" w:pos="887"/>
        </w:tabs>
        <w:spacing w:after="0" w:line="240" w:lineRule="auto"/>
        <w:ind w:firstLine="709"/>
        <w:jc w:val="both"/>
        <w:rPr>
          <w:rFonts w:ascii="Times New Roman" w:hAnsi="Times New Roman" w:cs="Times New Roman"/>
          <w:sz w:val="28"/>
          <w:szCs w:val="28"/>
        </w:rPr>
      </w:pPr>
      <w:r w:rsidRPr="004A5AFB">
        <w:rPr>
          <w:rFonts w:ascii="Times New Roman" w:hAnsi="Times New Roman" w:cs="Times New Roman"/>
          <w:sz w:val="28"/>
          <w:szCs w:val="28"/>
        </w:rPr>
        <w:t>- для категорий среднего риска - не чаще чем 1 раз в 5 лет;</w:t>
      </w:r>
    </w:p>
    <w:p w:rsidR="004A5AFB" w:rsidRPr="004A5AFB" w:rsidRDefault="004A5AFB" w:rsidP="004A5AFB">
      <w:pPr>
        <w:pStyle w:val="20"/>
        <w:shd w:val="clear" w:color="auto" w:fill="auto"/>
        <w:spacing w:after="0" w:line="240" w:lineRule="auto"/>
        <w:ind w:firstLine="709"/>
        <w:jc w:val="both"/>
        <w:rPr>
          <w:rFonts w:ascii="Times New Roman" w:hAnsi="Times New Roman" w:cs="Times New Roman"/>
          <w:sz w:val="28"/>
          <w:szCs w:val="28"/>
        </w:rPr>
      </w:pPr>
      <w:r w:rsidRPr="004A5AFB">
        <w:rPr>
          <w:rFonts w:ascii="Times New Roman" w:hAnsi="Times New Roman" w:cs="Times New Roman"/>
          <w:sz w:val="28"/>
          <w:szCs w:val="28"/>
        </w:rPr>
        <w:t>- для категории умеренного риска - не чаще чем один раз в 6 лет.</w:t>
      </w:r>
    </w:p>
    <w:p w:rsidR="004A5AFB" w:rsidRPr="004A5AFB" w:rsidRDefault="004A5AFB" w:rsidP="004A5AFB">
      <w:pPr>
        <w:pStyle w:val="20"/>
        <w:shd w:val="clear" w:color="auto" w:fill="auto"/>
        <w:spacing w:after="0" w:line="240" w:lineRule="auto"/>
        <w:ind w:firstLine="709"/>
        <w:jc w:val="both"/>
        <w:rPr>
          <w:rFonts w:ascii="Times New Roman" w:hAnsi="Times New Roman" w:cs="Times New Roman"/>
          <w:sz w:val="28"/>
          <w:szCs w:val="28"/>
        </w:rPr>
      </w:pPr>
      <w:r w:rsidRPr="004A5AFB">
        <w:rPr>
          <w:rFonts w:ascii="Times New Roman" w:hAnsi="Times New Roman" w:cs="Times New Roman"/>
          <w:sz w:val="28"/>
          <w:szCs w:val="28"/>
        </w:rPr>
        <w:t>В отношении юридических лиц и индивидуальных предпринимателей, деятельность которых отнесена к низкой категории риска, плановые проверки проводиться не будут.</w:t>
      </w:r>
    </w:p>
    <w:p w:rsidR="004A5AFB" w:rsidRPr="004A5AFB" w:rsidRDefault="004A5AFB" w:rsidP="004A5AFB">
      <w:pPr>
        <w:pStyle w:val="20"/>
        <w:shd w:val="clear" w:color="auto" w:fill="auto"/>
        <w:spacing w:after="0" w:line="240" w:lineRule="auto"/>
        <w:ind w:firstLine="709"/>
        <w:jc w:val="both"/>
        <w:rPr>
          <w:rFonts w:ascii="Times New Roman" w:hAnsi="Times New Roman" w:cs="Times New Roman"/>
          <w:sz w:val="28"/>
          <w:szCs w:val="28"/>
        </w:rPr>
      </w:pPr>
      <w:r w:rsidRPr="004A5AFB">
        <w:rPr>
          <w:rFonts w:ascii="Times New Roman" w:hAnsi="Times New Roman" w:cs="Times New Roman"/>
          <w:sz w:val="28"/>
          <w:szCs w:val="28"/>
        </w:rPr>
        <w:t>Для юридических лиц или индивидуальных предпринимателей предусмотрен коэффициент устойчивости их добросовестного поведения (Ку), который рассчитывается для каждого работодателя на основании следующих показателей:</w:t>
      </w:r>
    </w:p>
    <w:p w:rsidR="004A5AFB" w:rsidRPr="004A5AFB" w:rsidRDefault="004A5AFB" w:rsidP="004A5AFB">
      <w:pPr>
        <w:pStyle w:val="20"/>
        <w:shd w:val="clear" w:color="auto" w:fill="auto"/>
        <w:tabs>
          <w:tab w:val="left" w:pos="887"/>
        </w:tabs>
        <w:spacing w:after="0" w:line="240" w:lineRule="auto"/>
        <w:ind w:firstLine="709"/>
        <w:jc w:val="both"/>
        <w:rPr>
          <w:rFonts w:ascii="Times New Roman" w:hAnsi="Times New Roman" w:cs="Times New Roman"/>
          <w:sz w:val="28"/>
          <w:szCs w:val="28"/>
        </w:rPr>
      </w:pPr>
      <w:r w:rsidRPr="004A5AFB">
        <w:rPr>
          <w:rFonts w:ascii="Times New Roman" w:hAnsi="Times New Roman" w:cs="Times New Roman"/>
          <w:sz w:val="28"/>
          <w:szCs w:val="28"/>
        </w:rPr>
        <w:t>- наличие несчастных случаев;</w:t>
      </w:r>
    </w:p>
    <w:p w:rsidR="004A5AFB" w:rsidRPr="004A5AFB" w:rsidRDefault="004A5AFB" w:rsidP="004A5AFB">
      <w:pPr>
        <w:pStyle w:val="20"/>
        <w:shd w:val="clear" w:color="auto" w:fill="auto"/>
        <w:tabs>
          <w:tab w:val="left" w:pos="887"/>
        </w:tabs>
        <w:spacing w:after="0" w:line="240" w:lineRule="auto"/>
        <w:ind w:firstLine="709"/>
        <w:jc w:val="both"/>
        <w:rPr>
          <w:rFonts w:ascii="Times New Roman" w:hAnsi="Times New Roman" w:cs="Times New Roman"/>
          <w:sz w:val="28"/>
          <w:szCs w:val="28"/>
        </w:rPr>
      </w:pPr>
      <w:r w:rsidRPr="004A5AFB">
        <w:rPr>
          <w:rFonts w:ascii="Times New Roman" w:hAnsi="Times New Roman" w:cs="Times New Roman"/>
          <w:sz w:val="28"/>
          <w:szCs w:val="28"/>
        </w:rPr>
        <w:t>- факта задолженности по заработной плате;</w:t>
      </w:r>
    </w:p>
    <w:p w:rsidR="004A5AFB" w:rsidRPr="004A5AFB" w:rsidRDefault="004A5AFB" w:rsidP="004A5AFB">
      <w:pPr>
        <w:pStyle w:val="20"/>
        <w:shd w:val="clear" w:color="auto" w:fill="auto"/>
        <w:tabs>
          <w:tab w:val="left" w:pos="887"/>
        </w:tabs>
        <w:spacing w:after="0" w:line="240" w:lineRule="auto"/>
        <w:ind w:firstLine="709"/>
        <w:jc w:val="both"/>
        <w:rPr>
          <w:rFonts w:ascii="Times New Roman" w:hAnsi="Times New Roman" w:cs="Times New Roman"/>
          <w:sz w:val="28"/>
          <w:szCs w:val="28"/>
        </w:rPr>
      </w:pPr>
      <w:r w:rsidRPr="004A5AFB">
        <w:rPr>
          <w:rFonts w:ascii="Times New Roman" w:hAnsi="Times New Roman" w:cs="Times New Roman"/>
          <w:sz w:val="28"/>
          <w:szCs w:val="28"/>
        </w:rPr>
        <w:t>- наличие факта назначения административных наказаний.</w:t>
      </w:r>
    </w:p>
    <w:p w:rsidR="004A5AFB" w:rsidRPr="004A5AFB" w:rsidRDefault="004A5AFB" w:rsidP="004A5AFB">
      <w:pPr>
        <w:pStyle w:val="20"/>
        <w:shd w:val="clear" w:color="auto" w:fill="auto"/>
        <w:spacing w:after="0" w:line="240" w:lineRule="auto"/>
        <w:ind w:firstLine="709"/>
        <w:jc w:val="both"/>
        <w:rPr>
          <w:rFonts w:ascii="Times New Roman" w:hAnsi="Times New Roman" w:cs="Times New Roman"/>
          <w:sz w:val="28"/>
          <w:szCs w:val="28"/>
        </w:rPr>
      </w:pPr>
      <w:r w:rsidRPr="004A5AFB">
        <w:rPr>
          <w:rFonts w:ascii="Times New Roman" w:hAnsi="Times New Roman" w:cs="Times New Roman"/>
          <w:sz w:val="28"/>
          <w:szCs w:val="28"/>
        </w:rPr>
        <w:t xml:space="preserve">Отнесение деятельности юридического лица или индивидуального предпринимателя к категориям риска осуществляется решением главного государственного инспектора труда Российской Федерации (его заместителя) - при отнесении к категории высокого риска, решением главного государственного инспектора труда в субъекте Российской Федерации (его заместителя) - при отнесении к категориям значительного, среднего и умеренного. </w:t>
      </w:r>
    </w:p>
    <w:p w:rsidR="004A5AFB" w:rsidRPr="004A5AFB" w:rsidRDefault="004A5AFB" w:rsidP="004A5AFB">
      <w:pPr>
        <w:pStyle w:val="20"/>
        <w:shd w:val="clear" w:color="auto" w:fill="auto"/>
        <w:spacing w:after="0" w:line="240" w:lineRule="auto"/>
        <w:ind w:firstLine="709"/>
        <w:jc w:val="both"/>
        <w:rPr>
          <w:rFonts w:ascii="Times New Roman" w:hAnsi="Times New Roman" w:cs="Times New Roman"/>
          <w:sz w:val="28"/>
          <w:szCs w:val="28"/>
        </w:rPr>
      </w:pPr>
      <w:r w:rsidRPr="004A5AFB">
        <w:rPr>
          <w:rFonts w:ascii="Times New Roman" w:hAnsi="Times New Roman" w:cs="Times New Roman"/>
          <w:sz w:val="28"/>
          <w:szCs w:val="28"/>
        </w:rPr>
        <w:t>При отсутствии назначенных административных наказаний за нарушение обязательных требований в сфере труда по результатам плановой проверки принимают решение о понижении категории риска, присвоенной деятельности юридического лица или индивидуального предпринимателя, до следующей категории риска.</w:t>
      </w:r>
    </w:p>
    <w:p w:rsidR="004A5AFB" w:rsidRPr="004A5AFB" w:rsidRDefault="004A5AFB" w:rsidP="004A5AFB">
      <w:pPr>
        <w:pStyle w:val="20"/>
        <w:shd w:val="clear" w:color="auto" w:fill="auto"/>
        <w:spacing w:after="0" w:line="240" w:lineRule="auto"/>
        <w:ind w:firstLine="709"/>
        <w:jc w:val="both"/>
        <w:rPr>
          <w:rFonts w:ascii="Times New Roman" w:hAnsi="Times New Roman" w:cs="Times New Roman"/>
          <w:sz w:val="28"/>
          <w:szCs w:val="28"/>
        </w:rPr>
      </w:pPr>
      <w:r w:rsidRPr="004A5AFB">
        <w:rPr>
          <w:rFonts w:ascii="Times New Roman" w:hAnsi="Times New Roman" w:cs="Times New Roman"/>
          <w:sz w:val="28"/>
          <w:szCs w:val="28"/>
        </w:rPr>
        <w:lastRenderedPageBreak/>
        <w:t>При наличии смертельного несчастного случая, признанного связанным с производством, за 3 года, предшествующих текущему, категория риска, присвоенная деятельности юридического лица или индивидуального предпринимателя, повышается до категории высокого риска.</w:t>
      </w:r>
    </w:p>
    <w:p w:rsidR="004A5AFB" w:rsidRPr="004A5AFB" w:rsidRDefault="004A5AFB" w:rsidP="004A5AFB">
      <w:pPr>
        <w:pStyle w:val="20"/>
        <w:shd w:val="clear" w:color="auto" w:fill="auto"/>
        <w:spacing w:after="0" w:line="240" w:lineRule="auto"/>
        <w:ind w:firstLine="709"/>
        <w:jc w:val="both"/>
        <w:rPr>
          <w:rFonts w:ascii="Times New Roman" w:hAnsi="Times New Roman" w:cs="Times New Roman"/>
          <w:sz w:val="28"/>
          <w:szCs w:val="28"/>
        </w:rPr>
      </w:pPr>
      <w:r w:rsidRPr="004A5AFB">
        <w:rPr>
          <w:rFonts w:ascii="Times New Roman" w:hAnsi="Times New Roman" w:cs="Times New Roman"/>
          <w:sz w:val="28"/>
          <w:szCs w:val="28"/>
        </w:rPr>
        <w:t xml:space="preserve">Решение об изменение категории риска на более низкую категорию </w:t>
      </w:r>
      <w:proofErr w:type="gramStart"/>
      <w:r w:rsidRPr="004A5AFB">
        <w:rPr>
          <w:rFonts w:ascii="Times New Roman" w:hAnsi="Times New Roman" w:cs="Times New Roman"/>
          <w:sz w:val="28"/>
          <w:szCs w:val="28"/>
        </w:rPr>
        <w:t>принимается  должностным</w:t>
      </w:r>
      <w:proofErr w:type="gramEnd"/>
      <w:r w:rsidRPr="004A5AFB">
        <w:rPr>
          <w:rFonts w:ascii="Times New Roman" w:hAnsi="Times New Roman" w:cs="Times New Roman"/>
          <w:sz w:val="28"/>
          <w:szCs w:val="28"/>
        </w:rPr>
        <w:t xml:space="preserve"> лицом, которым ранее было принято решение об отнесении работодателя к категории риска, с направлением указанного решения, документов и сведений, на основании которых оно было принято, должностному лицу, уполномоченному на принятие решения об отнесении работодателя к соответствующей категории риска.</w:t>
      </w:r>
    </w:p>
    <w:p w:rsidR="004A5AFB" w:rsidRPr="004A5AFB" w:rsidRDefault="004A5AFB" w:rsidP="004A5AFB">
      <w:pPr>
        <w:pStyle w:val="20"/>
        <w:shd w:val="clear" w:color="auto" w:fill="auto"/>
        <w:spacing w:after="0" w:line="240" w:lineRule="auto"/>
        <w:ind w:firstLine="709"/>
        <w:jc w:val="both"/>
        <w:rPr>
          <w:rStyle w:val="2Exact"/>
          <w:rFonts w:eastAsiaTheme="minorHAnsi"/>
          <w:sz w:val="28"/>
          <w:szCs w:val="28"/>
        </w:rPr>
      </w:pPr>
      <w:r w:rsidRPr="004A5AFB">
        <w:rPr>
          <w:rFonts w:ascii="Times New Roman" w:hAnsi="Times New Roman" w:cs="Times New Roman"/>
          <w:sz w:val="28"/>
          <w:szCs w:val="28"/>
        </w:rPr>
        <w:t>При отсутствии решения об отнесении работодателя к определенной категории риска работодатель считается отнесенным к категории низкого риска</w:t>
      </w:r>
      <w:r w:rsidRPr="004A5AFB">
        <w:rPr>
          <w:rStyle w:val="2Exact"/>
          <w:rFonts w:eastAsiaTheme="minorHAnsi"/>
          <w:sz w:val="28"/>
          <w:szCs w:val="28"/>
        </w:rPr>
        <w:t xml:space="preserve"> </w:t>
      </w:r>
    </w:p>
    <w:p w:rsidR="004A5AFB" w:rsidRPr="004A5AFB" w:rsidRDefault="004A5AFB" w:rsidP="004A5AFB">
      <w:pPr>
        <w:spacing w:after="0" w:line="240" w:lineRule="auto"/>
        <w:ind w:firstLine="709"/>
        <w:jc w:val="both"/>
        <w:rPr>
          <w:rFonts w:ascii="Times New Roman" w:hAnsi="Times New Roman" w:cs="Times New Roman"/>
          <w:sz w:val="28"/>
          <w:szCs w:val="28"/>
        </w:rPr>
      </w:pPr>
      <w:r w:rsidRPr="004A5AFB">
        <w:rPr>
          <w:rStyle w:val="2Exact"/>
          <w:rFonts w:eastAsiaTheme="minorHAnsi"/>
          <w:sz w:val="28"/>
          <w:szCs w:val="28"/>
        </w:rPr>
        <w:t xml:space="preserve">Информация о поднадзорных хозяйствующих субъектах по категориям рисков будет размещена </w:t>
      </w:r>
      <w:proofErr w:type="spellStart"/>
      <w:r w:rsidRPr="004A5AFB">
        <w:rPr>
          <w:rStyle w:val="2Exact"/>
          <w:rFonts w:eastAsiaTheme="minorHAnsi"/>
          <w:sz w:val="28"/>
          <w:szCs w:val="28"/>
        </w:rPr>
        <w:t>Рострудом</w:t>
      </w:r>
      <w:proofErr w:type="spellEnd"/>
      <w:r w:rsidRPr="004A5AFB">
        <w:rPr>
          <w:rStyle w:val="2Exact"/>
          <w:rFonts w:eastAsiaTheme="minorHAnsi"/>
          <w:sz w:val="28"/>
          <w:szCs w:val="28"/>
        </w:rPr>
        <w:t xml:space="preserve"> на официальном сайте в сети «Интернет», согласно срока, предусмотренного паспортом приоритетного проекта «Повышение эффективности обеспечения соблюдения трудового законодательства и иных нормативных правовых актов, содержащих нормы трудового права», утвержденного на заседании проектного комитета по основному направлению стратегического развития Российской Федерации «Реформа контрольной и надзорной деятельности».</w:t>
      </w:r>
    </w:p>
    <w:p w:rsidR="00F03E3C" w:rsidRDefault="00EE045D" w:rsidP="00EE045D">
      <w:pPr>
        <w:pStyle w:val="a4"/>
        <w:suppressAutoHyphens/>
        <w:ind w:left="0" w:firstLine="720"/>
        <w:jc w:val="both"/>
        <w:rPr>
          <w:rFonts w:ascii="Times New Roman" w:hAnsi="Times New Roman"/>
          <w:sz w:val="28"/>
          <w:szCs w:val="28"/>
        </w:rPr>
      </w:pPr>
      <w:r w:rsidRPr="004A5AFB">
        <w:rPr>
          <w:rFonts w:ascii="Times New Roman" w:hAnsi="Times New Roman"/>
          <w:sz w:val="28"/>
          <w:szCs w:val="28"/>
        </w:rPr>
        <w:t xml:space="preserve">   </w:t>
      </w:r>
    </w:p>
    <w:p w:rsidR="00EE045D" w:rsidRPr="00F03E3C" w:rsidRDefault="00EE045D" w:rsidP="00F03E3C">
      <w:pPr>
        <w:pStyle w:val="a4"/>
        <w:suppressAutoHyphens/>
        <w:ind w:left="0"/>
        <w:jc w:val="center"/>
        <w:rPr>
          <w:b/>
          <w:sz w:val="28"/>
          <w:szCs w:val="28"/>
        </w:rPr>
      </w:pPr>
      <w:r w:rsidRPr="00F03E3C">
        <w:rPr>
          <w:b/>
          <w:bCs/>
          <w:sz w:val="28"/>
          <w:szCs w:val="28"/>
        </w:rPr>
        <w:t>Планируемые изменения</w:t>
      </w:r>
      <w:r w:rsidRPr="00F03E3C">
        <w:rPr>
          <w:b/>
          <w:sz w:val="28"/>
          <w:szCs w:val="28"/>
        </w:rPr>
        <w:t xml:space="preserve"> </w:t>
      </w:r>
      <w:r w:rsidRPr="00F03E3C">
        <w:rPr>
          <w:b/>
          <w:bCs/>
          <w:sz w:val="28"/>
          <w:szCs w:val="28"/>
        </w:rPr>
        <w:t>законодательства РФ в области охраны труда</w:t>
      </w:r>
    </w:p>
    <w:p w:rsidR="00EE045D" w:rsidRPr="005057D8" w:rsidRDefault="00EE045D" w:rsidP="00EE045D">
      <w:pPr>
        <w:pStyle w:val="a4"/>
        <w:suppressAutoHyphens/>
        <w:spacing w:line="240" w:lineRule="auto"/>
        <w:ind w:left="0"/>
        <w:jc w:val="both"/>
        <w:rPr>
          <w:sz w:val="28"/>
          <w:szCs w:val="28"/>
        </w:rPr>
      </w:pPr>
      <w:r w:rsidRPr="005057D8">
        <w:rPr>
          <w:sz w:val="28"/>
          <w:szCs w:val="28"/>
        </w:rPr>
        <w:t>1.</w:t>
      </w:r>
      <w:r w:rsidRPr="005057D8">
        <w:rPr>
          <w:sz w:val="28"/>
          <w:szCs w:val="28"/>
        </w:rPr>
        <w:tab/>
        <w:t>Внесение изменений в статью 357 ТК РФ – возложение ответственности на генерального заказчика и основного подрядчика.</w:t>
      </w:r>
    </w:p>
    <w:p w:rsidR="00EE045D" w:rsidRPr="005057D8" w:rsidRDefault="00EE045D" w:rsidP="00EE045D">
      <w:pPr>
        <w:pStyle w:val="a4"/>
        <w:suppressAutoHyphens/>
        <w:spacing w:line="240" w:lineRule="auto"/>
        <w:ind w:left="0"/>
        <w:jc w:val="both"/>
        <w:rPr>
          <w:sz w:val="28"/>
          <w:szCs w:val="28"/>
        </w:rPr>
      </w:pPr>
      <w:r w:rsidRPr="005057D8">
        <w:rPr>
          <w:sz w:val="28"/>
          <w:szCs w:val="28"/>
        </w:rPr>
        <w:t>2.</w:t>
      </w:r>
      <w:r w:rsidRPr="005057D8">
        <w:rPr>
          <w:sz w:val="28"/>
          <w:szCs w:val="28"/>
        </w:rPr>
        <w:tab/>
        <w:t>Определение перечня работ, для выполнения которых запрещено привлекать работников на основании договоров гражданско-правового характера.</w:t>
      </w:r>
    </w:p>
    <w:p w:rsidR="00EE045D" w:rsidRPr="005057D8" w:rsidRDefault="00EE045D" w:rsidP="00EE045D">
      <w:pPr>
        <w:pStyle w:val="a4"/>
        <w:suppressAutoHyphens/>
        <w:spacing w:line="240" w:lineRule="auto"/>
        <w:ind w:left="0"/>
        <w:jc w:val="both"/>
        <w:rPr>
          <w:sz w:val="28"/>
          <w:szCs w:val="28"/>
        </w:rPr>
      </w:pPr>
      <w:r w:rsidRPr="005057D8">
        <w:rPr>
          <w:sz w:val="28"/>
          <w:szCs w:val="28"/>
        </w:rPr>
        <w:t>3.</w:t>
      </w:r>
      <w:r w:rsidRPr="005057D8">
        <w:rPr>
          <w:sz w:val="28"/>
          <w:szCs w:val="28"/>
        </w:rPr>
        <w:tab/>
        <w:t>При несчастном случае на производстве, ГИТ может одновременно с расследованием НС проводить комплексную внеплановую проверку деятельности.</w:t>
      </w:r>
    </w:p>
    <w:p w:rsidR="00EE045D" w:rsidRPr="005057D8" w:rsidRDefault="00EE045D" w:rsidP="00EE045D">
      <w:pPr>
        <w:pStyle w:val="a4"/>
        <w:suppressAutoHyphens/>
        <w:spacing w:line="240" w:lineRule="auto"/>
        <w:ind w:left="0"/>
        <w:jc w:val="both"/>
        <w:rPr>
          <w:sz w:val="28"/>
          <w:szCs w:val="28"/>
        </w:rPr>
      </w:pPr>
      <w:r w:rsidRPr="005057D8">
        <w:rPr>
          <w:sz w:val="28"/>
          <w:szCs w:val="28"/>
        </w:rPr>
        <w:t>4.</w:t>
      </w:r>
      <w:r w:rsidRPr="005057D8">
        <w:rPr>
          <w:sz w:val="28"/>
          <w:szCs w:val="28"/>
        </w:rPr>
        <w:tab/>
        <w:t>Формировать ежегодный план проведения плановых проверок, независимо от истекшего срока со дня их государственной регистрации, если в предшествующем году произошел несчастный случай, связанный с производством, со смертельным исходом.</w:t>
      </w:r>
    </w:p>
    <w:p w:rsidR="00EE045D" w:rsidRPr="005057D8" w:rsidRDefault="00EE045D" w:rsidP="00EE045D">
      <w:pPr>
        <w:pStyle w:val="a4"/>
        <w:suppressAutoHyphens/>
        <w:spacing w:line="240" w:lineRule="auto"/>
        <w:ind w:left="0"/>
        <w:jc w:val="both"/>
        <w:rPr>
          <w:sz w:val="28"/>
          <w:szCs w:val="28"/>
        </w:rPr>
      </w:pPr>
      <w:r w:rsidRPr="005057D8">
        <w:rPr>
          <w:sz w:val="28"/>
          <w:szCs w:val="28"/>
        </w:rPr>
        <w:t>5.</w:t>
      </w:r>
      <w:r w:rsidRPr="005057D8">
        <w:rPr>
          <w:sz w:val="28"/>
          <w:szCs w:val="28"/>
        </w:rPr>
        <w:tab/>
        <w:t>По запросу ГИТ – судебно-медицинские экспертизы безвозмездно направлять информацию о причинах смерти работника.</w:t>
      </w:r>
    </w:p>
    <w:p w:rsidR="00EE045D" w:rsidRPr="005057D8" w:rsidRDefault="00EE045D" w:rsidP="00EE045D">
      <w:pPr>
        <w:pStyle w:val="a4"/>
        <w:tabs>
          <w:tab w:val="left" w:pos="993"/>
        </w:tabs>
        <w:ind w:left="0"/>
        <w:jc w:val="both"/>
        <w:rPr>
          <w:sz w:val="28"/>
          <w:szCs w:val="28"/>
          <w:lang w:val="ru-RU"/>
        </w:rPr>
      </w:pPr>
      <w:r w:rsidRPr="005057D8">
        <w:rPr>
          <w:bCs/>
          <w:sz w:val="28"/>
          <w:szCs w:val="28"/>
          <w:lang w:val="ru-RU"/>
        </w:rPr>
        <w:t>Планируемые изменения</w:t>
      </w:r>
      <w:r w:rsidRPr="005057D8">
        <w:rPr>
          <w:sz w:val="28"/>
          <w:szCs w:val="28"/>
          <w:lang w:val="ru-RU"/>
        </w:rPr>
        <w:t xml:space="preserve"> </w:t>
      </w:r>
      <w:r w:rsidRPr="005057D8">
        <w:rPr>
          <w:bCs/>
          <w:sz w:val="28"/>
          <w:szCs w:val="28"/>
          <w:lang w:val="ru-RU"/>
        </w:rPr>
        <w:t>законодательства РФ в области оплаты труда</w:t>
      </w:r>
    </w:p>
    <w:p w:rsidR="00EE045D" w:rsidRPr="005057D8" w:rsidRDefault="00EE045D" w:rsidP="00EE045D">
      <w:pPr>
        <w:pStyle w:val="a4"/>
        <w:tabs>
          <w:tab w:val="left" w:pos="993"/>
        </w:tabs>
        <w:spacing w:line="240" w:lineRule="auto"/>
        <w:ind w:left="0"/>
        <w:jc w:val="both"/>
        <w:rPr>
          <w:sz w:val="28"/>
          <w:szCs w:val="28"/>
          <w:lang w:val="ru-RU"/>
        </w:rPr>
      </w:pPr>
      <w:r w:rsidRPr="005057D8">
        <w:rPr>
          <w:sz w:val="28"/>
          <w:szCs w:val="28"/>
          <w:lang w:val="ru-RU"/>
        </w:rPr>
        <w:t>1.</w:t>
      </w:r>
      <w:r w:rsidRPr="005057D8">
        <w:rPr>
          <w:sz w:val="28"/>
          <w:szCs w:val="28"/>
          <w:lang w:val="ru-RU"/>
        </w:rPr>
        <w:tab/>
        <w:t>Установление ответственности собственника организации за возникновение задолженности.</w:t>
      </w:r>
    </w:p>
    <w:p w:rsidR="00EE045D" w:rsidRPr="005057D8" w:rsidRDefault="00EE045D" w:rsidP="00EE045D">
      <w:pPr>
        <w:pStyle w:val="a4"/>
        <w:numPr>
          <w:ilvl w:val="0"/>
          <w:numId w:val="1"/>
        </w:numPr>
        <w:tabs>
          <w:tab w:val="clear" w:pos="360"/>
          <w:tab w:val="num" w:pos="0"/>
          <w:tab w:val="left" w:pos="993"/>
        </w:tabs>
        <w:spacing w:line="240" w:lineRule="auto"/>
        <w:jc w:val="both"/>
        <w:rPr>
          <w:sz w:val="28"/>
          <w:szCs w:val="28"/>
          <w:lang w:val="ru-RU"/>
        </w:rPr>
      </w:pPr>
      <w:r w:rsidRPr="005057D8">
        <w:rPr>
          <w:sz w:val="28"/>
          <w:szCs w:val="28"/>
          <w:lang w:val="ru-RU"/>
        </w:rPr>
        <w:t>Создание резервного фонда субъекта РФ в целях возмещения</w:t>
      </w:r>
    </w:p>
    <w:p w:rsidR="00EE045D" w:rsidRPr="005057D8" w:rsidRDefault="00EE045D" w:rsidP="00EE045D">
      <w:pPr>
        <w:pStyle w:val="a4"/>
        <w:tabs>
          <w:tab w:val="num" w:pos="0"/>
          <w:tab w:val="left" w:pos="993"/>
        </w:tabs>
        <w:spacing w:line="240" w:lineRule="auto"/>
        <w:ind w:left="0" w:hanging="360"/>
        <w:jc w:val="both"/>
        <w:rPr>
          <w:sz w:val="28"/>
          <w:szCs w:val="28"/>
          <w:lang w:val="ru-RU"/>
        </w:rPr>
      </w:pPr>
      <w:r w:rsidRPr="005057D8">
        <w:rPr>
          <w:sz w:val="28"/>
          <w:szCs w:val="28"/>
          <w:lang w:val="ru-RU"/>
        </w:rPr>
        <w:tab/>
      </w:r>
      <w:proofErr w:type="gramStart"/>
      <w:r w:rsidRPr="005057D8">
        <w:rPr>
          <w:sz w:val="28"/>
          <w:szCs w:val="28"/>
          <w:lang w:val="ru-RU"/>
        </w:rPr>
        <w:t>недополученной</w:t>
      </w:r>
      <w:proofErr w:type="gramEnd"/>
      <w:r w:rsidRPr="005057D8">
        <w:rPr>
          <w:sz w:val="28"/>
          <w:szCs w:val="28"/>
          <w:lang w:val="ru-RU"/>
        </w:rPr>
        <w:t xml:space="preserve"> заработной платы работником организации.</w:t>
      </w:r>
    </w:p>
    <w:p w:rsidR="00EE045D" w:rsidRPr="005057D8" w:rsidRDefault="00EE045D" w:rsidP="00EE045D">
      <w:pPr>
        <w:pStyle w:val="a4"/>
        <w:numPr>
          <w:ilvl w:val="0"/>
          <w:numId w:val="2"/>
        </w:numPr>
        <w:tabs>
          <w:tab w:val="num" w:pos="0"/>
          <w:tab w:val="left" w:pos="993"/>
        </w:tabs>
        <w:spacing w:line="240" w:lineRule="auto"/>
        <w:ind w:hanging="720"/>
        <w:jc w:val="both"/>
        <w:rPr>
          <w:sz w:val="28"/>
          <w:szCs w:val="28"/>
          <w:lang w:val="ru-RU"/>
        </w:rPr>
      </w:pPr>
      <w:r w:rsidRPr="005057D8">
        <w:rPr>
          <w:sz w:val="28"/>
          <w:szCs w:val="28"/>
          <w:lang w:val="ru-RU"/>
        </w:rPr>
        <w:t>В случае банкротства организации – увеличение доли средств на</w:t>
      </w:r>
    </w:p>
    <w:p w:rsidR="00EE045D" w:rsidRPr="005057D8" w:rsidRDefault="00EE045D" w:rsidP="00EE045D">
      <w:pPr>
        <w:pStyle w:val="a4"/>
        <w:tabs>
          <w:tab w:val="num" w:pos="0"/>
          <w:tab w:val="left" w:pos="993"/>
        </w:tabs>
        <w:spacing w:line="240" w:lineRule="auto"/>
        <w:ind w:left="0" w:hanging="360"/>
        <w:jc w:val="both"/>
        <w:rPr>
          <w:sz w:val="28"/>
          <w:szCs w:val="28"/>
          <w:lang w:val="ru-RU"/>
        </w:rPr>
      </w:pPr>
      <w:r w:rsidRPr="005057D8">
        <w:rPr>
          <w:sz w:val="28"/>
          <w:szCs w:val="28"/>
          <w:lang w:val="ru-RU"/>
        </w:rPr>
        <w:lastRenderedPageBreak/>
        <w:tab/>
      </w:r>
      <w:proofErr w:type="gramStart"/>
      <w:r w:rsidRPr="005057D8">
        <w:rPr>
          <w:sz w:val="28"/>
          <w:szCs w:val="28"/>
          <w:lang w:val="ru-RU"/>
        </w:rPr>
        <w:t>погашение</w:t>
      </w:r>
      <w:proofErr w:type="gramEnd"/>
      <w:r w:rsidRPr="005057D8">
        <w:rPr>
          <w:sz w:val="28"/>
          <w:szCs w:val="28"/>
          <w:lang w:val="ru-RU"/>
        </w:rPr>
        <w:t xml:space="preserve"> задолженности за счет реализации залога.</w:t>
      </w:r>
    </w:p>
    <w:p w:rsidR="00EE045D" w:rsidRPr="005057D8" w:rsidRDefault="00EE045D" w:rsidP="00EE045D">
      <w:pPr>
        <w:pStyle w:val="a4"/>
        <w:numPr>
          <w:ilvl w:val="0"/>
          <w:numId w:val="3"/>
        </w:numPr>
        <w:tabs>
          <w:tab w:val="num" w:pos="0"/>
          <w:tab w:val="left" w:pos="993"/>
        </w:tabs>
        <w:spacing w:line="240" w:lineRule="auto"/>
        <w:ind w:hanging="720"/>
        <w:jc w:val="both"/>
        <w:rPr>
          <w:sz w:val="28"/>
          <w:szCs w:val="28"/>
          <w:lang w:val="ru-RU"/>
        </w:rPr>
      </w:pPr>
      <w:r w:rsidRPr="005057D8">
        <w:rPr>
          <w:sz w:val="28"/>
          <w:szCs w:val="28"/>
          <w:lang w:val="ru-RU"/>
        </w:rPr>
        <w:t xml:space="preserve">Придание предписанию ГИТ статуса исполнительного документа </w:t>
      </w:r>
    </w:p>
    <w:p w:rsidR="00EE045D" w:rsidRPr="005057D8" w:rsidRDefault="00EE045D" w:rsidP="00EE045D">
      <w:pPr>
        <w:pStyle w:val="a4"/>
        <w:tabs>
          <w:tab w:val="num" w:pos="0"/>
          <w:tab w:val="left" w:pos="993"/>
        </w:tabs>
        <w:spacing w:line="240" w:lineRule="auto"/>
        <w:ind w:left="0" w:hanging="360"/>
        <w:jc w:val="both"/>
        <w:rPr>
          <w:sz w:val="28"/>
          <w:szCs w:val="28"/>
          <w:lang w:val="ru-RU"/>
        </w:rPr>
      </w:pPr>
      <w:r w:rsidRPr="005057D8">
        <w:rPr>
          <w:sz w:val="28"/>
          <w:szCs w:val="28"/>
          <w:lang w:val="ru-RU"/>
        </w:rPr>
        <w:tab/>
      </w:r>
      <w:proofErr w:type="gramStart"/>
      <w:r w:rsidRPr="005057D8">
        <w:rPr>
          <w:sz w:val="28"/>
          <w:szCs w:val="28"/>
          <w:lang w:val="ru-RU"/>
        </w:rPr>
        <w:t>с</w:t>
      </w:r>
      <w:proofErr w:type="gramEnd"/>
      <w:r w:rsidRPr="005057D8">
        <w:rPr>
          <w:sz w:val="28"/>
          <w:szCs w:val="28"/>
          <w:lang w:val="ru-RU"/>
        </w:rPr>
        <w:t xml:space="preserve"> возможностью принудительного списания денежных средств со</w:t>
      </w:r>
    </w:p>
    <w:p w:rsidR="00EE045D" w:rsidRPr="005057D8" w:rsidRDefault="00EE045D" w:rsidP="00EE045D">
      <w:pPr>
        <w:pStyle w:val="a4"/>
        <w:tabs>
          <w:tab w:val="num" w:pos="0"/>
          <w:tab w:val="left" w:pos="993"/>
        </w:tabs>
        <w:spacing w:line="240" w:lineRule="auto"/>
        <w:ind w:left="0" w:hanging="360"/>
        <w:jc w:val="both"/>
        <w:rPr>
          <w:sz w:val="28"/>
          <w:szCs w:val="28"/>
          <w:lang w:val="ru-RU"/>
        </w:rPr>
      </w:pPr>
      <w:r w:rsidRPr="005057D8">
        <w:rPr>
          <w:sz w:val="28"/>
          <w:szCs w:val="28"/>
          <w:lang w:val="ru-RU"/>
        </w:rPr>
        <w:tab/>
      </w:r>
      <w:proofErr w:type="gramStart"/>
      <w:r w:rsidRPr="005057D8">
        <w:rPr>
          <w:sz w:val="28"/>
          <w:szCs w:val="28"/>
          <w:lang w:val="ru-RU"/>
        </w:rPr>
        <w:t>счетов</w:t>
      </w:r>
      <w:proofErr w:type="gramEnd"/>
      <w:r w:rsidRPr="005057D8">
        <w:rPr>
          <w:sz w:val="28"/>
          <w:szCs w:val="28"/>
          <w:lang w:val="ru-RU"/>
        </w:rPr>
        <w:t xml:space="preserve"> организации.</w:t>
      </w:r>
    </w:p>
    <w:p w:rsidR="004A5AFB" w:rsidRPr="00EE045D" w:rsidRDefault="004A5AFB" w:rsidP="004A5AFB">
      <w:pPr>
        <w:spacing w:after="0" w:line="240" w:lineRule="auto"/>
        <w:jc w:val="both"/>
        <w:rPr>
          <w:rFonts w:ascii="Times New Roman" w:hAnsi="Times New Roman" w:cs="Times New Roman"/>
          <w:sz w:val="28"/>
          <w:szCs w:val="28"/>
          <w:lang w:val="x-none"/>
        </w:rPr>
      </w:pPr>
    </w:p>
    <w:sectPr w:rsidR="004A5AFB" w:rsidRPr="00EE04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A5E92"/>
    <w:multiLevelType w:val="hybridMultilevel"/>
    <w:tmpl w:val="9C68D08E"/>
    <w:lvl w:ilvl="0" w:tplc="6D68BE14">
      <w:start w:val="2"/>
      <w:numFmt w:val="decimal"/>
      <w:lvlText w:val="%1."/>
      <w:lvlJc w:val="left"/>
      <w:pPr>
        <w:tabs>
          <w:tab w:val="num" w:pos="360"/>
        </w:tabs>
        <w:ind w:left="360" w:hanging="360"/>
      </w:pPr>
    </w:lvl>
    <w:lvl w:ilvl="1" w:tplc="8EBA2282" w:tentative="1">
      <w:start w:val="1"/>
      <w:numFmt w:val="decimal"/>
      <w:lvlText w:val="%2."/>
      <w:lvlJc w:val="left"/>
      <w:pPr>
        <w:tabs>
          <w:tab w:val="num" w:pos="1080"/>
        </w:tabs>
        <w:ind w:left="1080" w:hanging="360"/>
      </w:pPr>
    </w:lvl>
    <w:lvl w:ilvl="2" w:tplc="409C00EE" w:tentative="1">
      <w:start w:val="1"/>
      <w:numFmt w:val="decimal"/>
      <w:lvlText w:val="%3."/>
      <w:lvlJc w:val="left"/>
      <w:pPr>
        <w:tabs>
          <w:tab w:val="num" w:pos="1800"/>
        </w:tabs>
        <w:ind w:left="1800" w:hanging="360"/>
      </w:pPr>
    </w:lvl>
    <w:lvl w:ilvl="3" w:tplc="F3D85EA0" w:tentative="1">
      <w:start w:val="1"/>
      <w:numFmt w:val="decimal"/>
      <w:lvlText w:val="%4."/>
      <w:lvlJc w:val="left"/>
      <w:pPr>
        <w:tabs>
          <w:tab w:val="num" w:pos="2520"/>
        </w:tabs>
        <w:ind w:left="2520" w:hanging="360"/>
      </w:pPr>
    </w:lvl>
    <w:lvl w:ilvl="4" w:tplc="7F22B7C4" w:tentative="1">
      <w:start w:val="1"/>
      <w:numFmt w:val="decimal"/>
      <w:lvlText w:val="%5."/>
      <w:lvlJc w:val="left"/>
      <w:pPr>
        <w:tabs>
          <w:tab w:val="num" w:pos="3240"/>
        </w:tabs>
        <w:ind w:left="3240" w:hanging="360"/>
      </w:pPr>
    </w:lvl>
    <w:lvl w:ilvl="5" w:tplc="4782CBF6" w:tentative="1">
      <w:start w:val="1"/>
      <w:numFmt w:val="decimal"/>
      <w:lvlText w:val="%6."/>
      <w:lvlJc w:val="left"/>
      <w:pPr>
        <w:tabs>
          <w:tab w:val="num" w:pos="3960"/>
        </w:tabs>
        <w:ind w:left="3960" w:hanging="360"/>
      </w:pPr>
    </w:lvl>
    <w:lvl w:ilvl="6" w:tplc="5400071A" w:tentative="1">
      <w:start w:val="1"/>
      <w:numFmt w:val="decimal"/>
      <w:lvlText w:val="%7."/>
      <w:lvlJc w:val="left"/>
      <w:pPr>
        <w:tabs>
          <w:tab w:val="num" w:pos="4680"/>
        </w:tabs>
        <w:ind w:left="4680" w:hanging="360"/>
      </w:pPr>
    </w:lvl>
    <w:lvl w:ilvl="7" w:tplc="C39021EE" w:tentative="1">
      <w:start w:val="1"/>
      <w:numFmt w:val="decimal"/>
      <w:lvlText w:val="%8."/>
      <w:lvlJc w:val="left"/>
      <w:pPr>
        <w:tabs>
          <w:tab w:val="num" w:pos="5400"/>
        </w:tabs>
        <w:ind w:left="5400" w:hanging="360"/>
      </w:pPr>
    </w:lvl>
    <w:lvl w:ilvl="8" w:tplc="0D864014" w:tentative="1">
      <w:start w:val="1"/>
      <w:numFmt w:val="decimal"/>
      <w:lvlText w:val="%9."/>
      <w:lvlJc w:val="left"/>
      <w:pPr>
        <w:tabs>
          <w:tab w:val="num" w:pos="6120"/>
        </w:tabs>
        <w:ind w:left="6120" w:hanging="360"/>
      </w:pPr>
    </w:lvl>
  </w:abstractNum>
  <w:abstractNum w:abstractNumId="1">
    <w:nsid w:val="2E7B506F"/>
    <w:multiLevelType w:val="hybridMultilevel"/>
    <w:tmpl w:val="D69EE578"/>
    <w:lvl w:ilvl="0" w:tplc="E1C8661E">
      <w:start w:val="4"/>
      <w:numFmt w:val="decimal"/>
      <w:lvlText w:val="%1."/>
      <w:lvlJc w:val="left"/>
      <w:pPr>
        <w:tabs>
          <w:tab w:val="num" w:pos="720"/>
        </w:tabs>
        <w:ind w:left="720" w:hanging="360"/>
      </w:pPr>
    </w:lvl>
    <w:lvl w:ilvl="1" w:tplc="F0A0B0A0" w:tentative="1">
      <w:start w:val="1"/>
      <w:numFmt w:val="decimal"/>
      <w:lvlText w:val="%2."/>
      <w:lvlJc w:val="left"/>
      <w:pPr>
        <w:tabs>
          <w:tab w:val="num" w:pos="1440"/>
        </w:tabs>
        <w:ind w:left="1440" w:hanging="360"/>
      </w:pPr>
    </w:lvl>
    <w:lvl w:ilvl="2" w:tplc="92A66906" w:tentative="1">
      <w:start w:val="1"/>
      <w:numFmt w:val="decimal"/>
      <w:lvlText w:val="%3."/>
      <w:lvlJc w:val="left"/>
      <w:pPr>
        <w:tabs>
          <w:tab w:val="num" w:pos="2160"/>
        </w:tabs>
        <w:ind w:left="2160" w:hanging="360"/>
      </w:pPr>
    </w:lvl>
    <w:lvl w:ilvl="3" w:tplc="91F870A2" w:tentative="1">
      <w:start w:val="1"/>
      <w:numFmt w:val="decimal"/>
      <w:lvlText w:val="%4."/>
      <w:lvlJc w:val="left"/>
      <w:pPr>
        <w:tabs>
          <w:tab w:val="num" w:pos="2880"/>
        </w:tabs>
        <w:ind w:left="2880" w:hanging="360"/>
      </w:pPr>
    </w:lvl>
    <w:lvl w:ilvl="4" w:tplc="7D383A34" w:tentative="1">
      <w:start w:val="1"/>
      <w:numFmt w:val="decimal"/>
      <w:lvlText w:val="%5."/>
      <w:lvlJc w:val="left"/>
      <w:pPr>
        <w:tabs>
          <w:tab w:val="num" w:pos="3600"/>
        </w:tabs>
        <w:ind w:left="3600" w:hanging="360"/>
      </w:pPr>
    </w:lvl>
    <w:lvl w:ilvl="5" w:tplc="601A2210" w:tentative="1">
      <w:start w:val="1"/>
      <w:numFmt w:val="decimal"/>
      <w:lvlText w:val="%6."/>
      <w:lvlJc w:val="left"/>
      <w:pPr>
        <w:tabs>
          <w:tab w:val="num" w:pos="4320"/>
        </w:tabs>
        <w:ind w:left="4320" w:hanging="360"/>
      </w:pPr>
    </w:lvl>
    <w:lvl w:ilvl="6" w:tplc="1656457E" w:tentative="1">
      <w:start w:val="1"/>
      <w:numFmt w:val="decimal"/>
      <w:lvlText w:val="%7."/>
      <w:lvlJc w:val="left"/>
      <w:pPr>
        <w:tabs>
          <w:tab w:val="num" w:pos="5040"/>
        </w:tabs>
        <w:ind w:left="5040" w:hanging="360"/>
      </w:pPr>
    </w:lvl>
    <w:lvl w:ilvl="7" w:tplc="5E2054A6" w:tentative="1">
      <w:start w:val="1"/>
      <w:numFmt w:val="decimal"/>
      <w:lvlText w:val="%8."/>
      <w:lvlJc w:val="left"/>
      <w:pPr>
        <w:tabs>
          <w:tab w:val="num" w:pos="5760"/>
        </w:tabs>
        <w:ind w:left="5760" w:hanging="360"/>
      </w:pPr>
    </w:lvl>
    <w:lvl w:ilvl="8" w:tplc="E4AC5E0E" w:tentative="1">
      <w:start w:val="1"/>
      <w:numFmt w:val="decimal"/>
      <w:lvlText w:val="%9."/>
      <w:lvlJc w:val="left"/>
      <w:pPr>
        <w:tabs>
          <w:tab w:val="num" w:pos="6480"/>
        </w:tabs>
        <w:ind w:left="6480" w:hanging="360"/>
      </w:pPr>
    </w:lvl>
  </w:abstractNum>
  <w:abstractNum w:abstractNumId="2">
    <w:nsid w:val="511B41A3"/>
    <w:multiLevelType w:val="hybridMultilevel"/>
    <w:tmpl w:val="B25876BE"/>
    <w:lvl w:ilvl="0" w:tplc="D2583842">
      <w:start w:val="3"/>
      <w:numFmt w:val="decimal"/>
      <w:lvlText w:val="%1."/>
      <w:lvlJc w:val="left"/>
      <w:pPr>
        <w:tabs>
          <w:tab w:val="num" w:pos="720"/>
        </w:tabs>
        <w:ind w:left="720" w:hanging="360"/>
      </w:pPr>
    </w:lvl>
    <w:lvl w:ilvl="1" w:tplc="A08A78A2" w:tentative="1">
      <w:start w:val="1"/>
      <w:numFmt w:val="decimal"/>
      <w:lvlText w:val="%2."/>
      <w:lvlJc w:val="left"/>
      <w:pPr>
        <w:tabs>
          <w:tab w:val="num" w:pos="1440"/>
        </w:tabs>
        <w:ind w:left="1440" w:hanging="360"/>
      </w:pPr>
    </w:lvl>
    <w:lvl w:ilvl="2" w:tplc="44EA559C" w:tentative="1">
      <w:start w:val="1"/>
      <w:numFmt w:val="decimal"/>
      <w:lvlText w:val="%3."/>
      <w:lvlJc w:val="left"/>
      <w:pPr>
        <w:tabs>
          <w:tab w:val="num" w:pos="2160"/>
        </w:tabs>
        <w:ind w:left="2160" w:hanging="360"/>
      </w:pPr>
    </w:lvl>
    <w:lvl w:ilvl="3" w:tplc="A3403A70" w:tentative="1">
      <w:start w:val="1"/>
      <w:numFmt w:val="decimal"/>
      <w:lvlText w:val="%4."/>
      <w:lvlJc w:val="left"/>
      <w:pPr>
        <w:tabs>
          <w:tab w:val="num" w:pos="2880"/>
        </w:tabs>
        <w:ind w:left="2880" w:hanging="360"/>
      </w:pPr>
    </w:lvl>
    <w:lvl w:ilvl="4" w:tplc="528C39B6" w:tentative="1">
      <w:start w:val="1"/>
      <w:numFmt w:val="decimal"/>
      <w:lvlText w:val="%5."/>
      <w:lvlJc w:val="left"/>
      <w:pPr>
        <w:tabs>
          <w:tab w:val="num" w:pos="3600"/>
        </w:tabs>
        <w:ind w:left="3600" w:hanging="360"/>
      </w:pPr>
    </w:lvl>
    <w:lvl w:ilvl="5" w:tplc="743CC420" w:tentative="1">
      <w:start w:val="1"/>
      <w:numFmt w:val="decimal"/>
      <w:lvlText w:val="%6."/>
      <w:lvlJc w:val="left"/>
      <w:pPr>
        <w:tabs>
          <w:tab w:val="num" w:pos="4320"/>
        </w:tabs>
        <w:ind w:left="4320" w:hanging="360"/>
      </w:pPr>
    </w:lvl>
    <w:lvl w:ilvl="6" w:tplc="B950E9C6" w:tentative="1">
      <w:start w:val="1"/>
      <w:numFmt w:val="decimal"/>
      <w:lvlText w:val="%7."/>
      <w:lvlJc w:val="left"/>
      <w:pPr>
        <w:tabs>
          <w:tab w:val="num" w:pos="5040"/>
        </w:tabs>
        <w:ind w:left="5040" w:hanging="360"/>
      </w:pPr>
    </w:lvl>
    <w:lvl w:ilvl="7" w:tplc="0450CFFE" w:tentative="1">
      <w:start w:val="1"/>
      <w:numFmt w:val="decimal"/>
      <w:lvlText w:val="%8."/>
      <w:lvlJc w:val="left"/>
      <w:pPr>
        <w:tabs>
          <w:tab w:val="num" w:pos="5760"/>
        </w:tabs>
        <w:ind w:left="5760" w:hanging="360"/>
      </w:pPr>
    </w:lvl>
    <w:lvl w:ilvl="8" w:tplc="D9F62CA2"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A39"/>
    <w:rsid w:val="003D0768"/>
    <w:rsid w:val="004A5AFB"/>
    <w:rsid w:val="005A3B0C"/>
    <w:rsid w:val="008B0DF2"/>
    <w:rsid w:val="00A23A39"/>
    <w:rsid w:val="00EE045D"/>
    <w:rsid w:val="00EE0A1D"/>
    <w:rsid w:val="00F03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74DF7B3-F0C8-46AA-A2A3-6355CC818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A1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1"/>
    <w:basedOn w:val="a"/>
    <w:rsid w:val="00EE0A1D"/>
    <w:pPr>
      <w:spacing w:before="100" w:beforeAutospacing="1" w:after="100" w:afterAutospacing="1" w:line="240" w:lineRule="auto"/>
    </w:pPr>
    <w:rPr>
      <w:rFonts w:ascii="Tahoma" w:eastAsia="Times New Roman" w:hAnsi="Tahoma" w:cs="Tahoma"/>
      <w:sz w:val="20"/>
      <w:szCs w:val="20"/>
      <w:lang w:val="en-US"/>
    </w:rPr>
  </w:style>
  <w:style w:type="character" w:styleId="a3">
    <w:name w:val="Hyperlink"/>
    <w:basedOn w:val="a0"/>
    <w:uiPriority w:val="99"/>
    <w:rsid w:val="00EE0A1D"/>
    <w:rPr>
      <w:color w:val="0000FF"/>
      <w:u w:val="single"/>
    </w:rPr>
  </w:style>
  <w:style w:type="paragraph" w:customStyle="1" w:styleId="ConsPlusNormal">
    <w:name w:val="ConsPlusNormal"/>
    <w:rsid w:val="004A5AFB"/>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0">
    <w:name w:val="текст1"/>
    <w:basedOn w:val="a"/>
    <w:qFormat/>
    <w:rsid w:val="004A5AFB"/>
    <w:pPr>
      <w:spacing w:after="0" w:line="240" w:lineRule="auto"/>
      <w:ind w:firstLine="709"/>
      <w:jc w:val="both"/>
    </w:pPr>
    <w:rPr>
      <w:rFonts w:ascii="Times New Roman" w:eastAsia="Calibri" w:hAnsi="Times New Roman" w:cs="Times New Roman"/>
      <w:sz w:val="28"/>
      <w:szCs w:val="28"/>
    </w:rPr>
  </w:style>
  <w:style w:type="character" w:customStyle="1" w:styleId="2Exact">
    <w:name w:val="Основной текст (2) Exact"/>
    <w:basedOn w:val="a0"/>
    <w:rsid w:val="004A5AFB"/>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 (2)_"/>
    <w:basedOn w:val="a0"/>
    <w:link w:val="20"/>
    <w:rsid w:val="004A5AFB"/>
    <w:rPr>
      <w:shd w:val="clear" w:color="auto" w:fill="FFFFFF"/>
    </w:rPr>
  </w:style>
  <w:style w:type="paragraph" w:customStyle="1" w:styleId="20">
    <w:name w:val="Основной текст (2)"/>
    <w:basedOn w:val="a"/>
    <w:link w:val="2"/>
    <w:rsid w:val="004A5AFB"/>
    <w:pPr>
      <w:widowControl w:val="0"/>
      <w:shd w:val="clear" w:color="auto" w:fill="FFFFFF"/>
      <w:spacing w:after="260" w:line="244" w:lineRule="exact"/>
    </w:pPr>
  </w:style>
  <w:style w:type="paragraph" w:styleId="a4">
    <w:name w:val="List Paragraph"/>
    <w:basedOn w:val="a"/>
    <w:link w:val="a5"/>
    <w:uiPriority w:val="34"/>
    <w:qFormat/>
    <w:rsid w:val="00EE045D"/>
    <w:pPr>
      <w:ind w:left="720"/>
      <w:contextualSpacing/>
    </w:pPr>
    <w:rPr>
      <w:rFonts w:ascii="Calibri" w:eastAsia="Times New Roman" w:hAnsi="Calibri" w:cs="Times New Roman"/>
      <w:sz w:val="20"/>
      <w:szCs w:val="20"/>
      <w:lang w:val="x-none" w:eastAsia="x-none"/>
    </w:rPr>
  </w:style>
  <w:style w:type="character" w:customStyle="1" w:styleId="a5">
    <w:name w:val="Абзац списка Знак"/>
    <w:link w:val="a4"/>
    <w:uiPriority w:val="34"/>
    <w:locked/>
    <w:rsid w:val="00EE045D"/>
    <w:rPr>
      <w:rFonts w:ascii="Calibri" w:eastAsia="Times New Roman" w:hAnsi="Calibri"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909B50DB19AF0E4DBB4A2F773F7E2517FF3ADD081D49E5879B1DFCED7D2B87CCBA43C4E8704S5GBJ" TargetMode="External"/><Relationship Id="rId13" Type="http://schemas.openxmlformats.org/officeDocument/2006/relationships/hyperlink" Target="consultantplus://offline/ref=B51341E916CA2D3342E9E2AF2B951F365F94C3677342A56D3CF437A40F6EA7372FA4AB1D0Er7JAL" TargetMode="External"/><Relationship Id="rId18" Type="http://schemas.openxmlformats.org/officeDocument/2006/relationships/hyperlink" Target="consultantplus://offline/ref=F86D4E46CCE3618E9F46CD33238BF8411312E9666FB5BAF93500B966A941F0F2F9D7D913E177OF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2909B50DB19AF0E4DBB4A2F773F7E2517CFAAADC87DA9E5879B1DFCED7D2B87CCBA43C4A83S0G5J" TargetMode="External"/><Relationship Id="rId12" Type="http://schemas.openxmlformats.org/officeDocument/2006/relationships/hyperlink" Target="consultantplus://offline/ref=AF5B4DE54E06B15B7F767024A0B5F71625E24138EF5D8EFB9238217CAD6FE907F55E802BC3N4ZEI" TargetMode="External"/><Relationship Id="rId17" Type="http://schemas.openxmlformats.org/officeDocument/2006/relationships/hyperlink" Target="consultantplus://offline/ref=F86D4E46CCE3618E9F46CD33238BF8411312E9666FB5BAF93500B966A941F0F2F9D7D911E77638E277OFL" TargetMode="External"/><Relationship Id="rId2" Type="http://schemas.openxmlformats.org/officeDocument/2006/relationships/styles" Target="styles.xml"/><Relationship Id="rId16" Type="http://schemas.openxmlformats.org/officeDocument/2006/relationships/hyperlink" Target="consultantplus://offline/ref=F86D4E46CCE3618E9F46CD33238BF8411312E9666FB5BAF93500B966A941F0F2F9D7D914E677O1L" TargetMode="External"/><Relationship Id="rId20" Type="http://schemas.openxmlformats.org/officeDocument/2006/relationships/hyperlink" Target="consultantplus://offline/ref=F86D4E46CCE3618E9F46CD33238BF8411312E9666FB5BAF93500B966A941F0F2F9D7D914E377O6L" TargetMode="External"/><Relationship Id="rId1" Type="http://schemas.openxmlformats.org/officeDocument/2006/relationships/numbering" Target="numbering.xml"/><Relationship Id="rId6" Type="http://schemas.openxmlformats.org/officeDocument/2006/relationships/hyperlink" Target="consultantplus://offline/ref=2909B50DB19AF0E4DBB4A2F773F7E2517FF3ADD081D49E5879B1DFCED7D2B87CCBA43C4E8704S5GBJ" TargetMode="External"/><Relationship Id="rId11" Type="http://schemas.openxmlformats.org/officeDocument/2006/relationships/hyperlink" Target="consultantplus://offline/ref=AF5B4DE54E06B15B7F767024A0B5F71625E24138EF5D8EFB9238217CAD6FE907F55E8029C4N4ZBI" TargetMode="External"/><Relationship Id="rId5" Type="http://schemas.openxmlformats.org/officeDocument/2006/relationships/hyperlink" Target="consultantplus://offline/ref=2909B50DB19AF0E4DBB4A2F773F7E2517FF3ADDF85DD9E5879B1DFCED7D2B87CCBA43C4D85015A58SBGCJ" TargetMode="External"/><Relationship Id="rId15" Type="http://schemas.openxmlformats.org/officeDocument/2006/relationships/hyperlink" Target="consultantplus://offline/ref=B51341E916CA2D3342E9E2AF2B951F365F94C3677342A56D3CF437A40F6EA7372FA4AB1A09r7J0L" TargetMode="External"/><Relationship Id="rId10" Type="http://schemas.openxmlformats.org/officeDocument/2006/relationships/hyperlink" Target="consultantplus://offline/ref=B050C726A2E11F9192678B8F925EC2EFFEADE9992F3748CBA44418C86DUFI2L" TargetMode="External"/><Relationship Id="rId19" Type="http://schemas.openxmlformats.org/officeDocument/2006/relationships/hyperlink" Target="consultantplus://offline/ref=F86D4E46CCE3618E9F46CD33238BF8411312E9666FB5BAF93500B966A941F0F2F9D7D914E277O1L" TargetMode="External"/><Relationship Id="rId4" Type="http://schemas.openxmlformats.org/officeDocument/2006/relationships/webSettings" Target="webSettings.xml"/><Relationship Id="rId9" Type="http://schemas.openxmlformats.org/officeDocument/2006/relationships/hyperlink" Target="consultantplus://offline/ref=B050C726A2E11F9192678B8F925EC2EFFEADE9992F3748CBA44418C86DF2C3A9A91F76B2363EU5I8L" TargetMode="External"/><Relationship Id="rId14" Type="http://schemas.openxmlformats.org/officeDocument/2006/relationships/hyperlink" Target="consultantplus://offline/ref=B51341E916CA2D3342E9E2AF2B951F365F94C3677342A56D3CF437A40Fr6JE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2221</Words>
  <Characters>12663</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Брожек С.О.</dc:creator>
  <cp:keywords/>
  <dc:description/>
  <cp:lastModifiedBy>Брожек С.О.</cp:lastModifiedBy>
  <cp:revision>2</cp:revision>
  <dcterms:created xsi:type="dcterms:W3CDTF">2018-08-20T12:03:00Z</dcterms:created>
  <dcterms:modified xsi:type="dcterms:W3CDTF">2018-08-20T12:03:00Z</dcterms:modified>
</cp:coreProperties>
</file>