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C1B" w:rsidRPr="00812F87" w:rsidRDefault="00776934" w:rsidP="00776934">
      <w:pPr>
        <w:ind w:firstLine="51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D7264A" w:rsidRPr="00B62A41" w:rsidRDefault="00D7264A" w:rsidP="00702CA5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</w:t>
      </w:r>
    </w:p>
    <w:p w:rsidR="00702CA5" w:rsidRPr="00812F87" w:rsidRDefault="00702CA5" w:rsidP="00702CA5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реализации представленных полномочий в отношении юридических лиц и индивидуальных предпринимателей Гострудинспекцией  в 1 квартале 2019 года проведено 756 проверок по вопросам соблюдения трудового законодательства и закона об охране труда, из них:</w:t>
      </w:r>
    </w:p>
    <w:p w:rsidR="00702CA5" w:rsidRPr="00812F87" w:rsidRDefault="00702CA5" w:rsidP="00702CA5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внеплановых-618;</w:t>
      </w:r>
    </w:p>
    <w:p w:rsidR="00702CA5" w:rsidRPr="00812F87" w:rsidRDefault="00702CA5" w:rsidP="00702CA5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2774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138. </w:t>
      </w:r>
    </w:p>
    <w:p w:rsidR="007A6708" w:rsidRDefault="007A6708" w:rsidP="00702CA5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 году, за этот же период проведено такое же количество проверок.</w:t>
      </w:r>
    </w:p>
    <w:p w:rsidR="000D3C53" w:rsidRPr="00812F87" w:rsidRDefault="000D3C53" w:rsidP="00702CA5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проверок по </w:t>
      </w:r>
      <w:r w:rsidR="00D6768B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итогам,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которых </w:t>
      </w:r>
      <w:proofErr w:type="gramStart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правонарушения составила</w:t>
      </w:r>
      <w:proofErr w:type="gramEnd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561 или 74 % от общего к</w:t>
      </w:r>
      <w:r w:rsidR="002B537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оличества проведенных проверок, из них д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результативных проверок по вопросам охраны труда составила 34 %.</w:t>
      </w:r>
    </w:p>
    <w:p w:rsidR="00D7264A" w:rsidRPr="00B62A41" w:rsidRDefault="00D7264A" w:rsidP="00702CA5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</w:t>
      </w:r>
    </w:p>
    <w:p w:rsidR="000D3C53" w:rsidRPr="00812F87" w:rsidRDefault="000D3C53" w:rsidP="00702CA5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выя</w:t>
      </w:r>
      <w:r w:rsidR="0098743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влено 1783 </w:t>
      </w:r>
      <w:r w:rsidR="007D5E60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трудового законодательства и иных нормативных правовых актов</w:t>
      </w:r>
      <w:r w:rsidR="0098743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доля выявленных  по вопросам охраны труда </w:t>
      </w:r>
      <w:r w:rsidR="00B20892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98743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4D058B" w:rsidRDefault="005D7208" w:rsidP="00987434">
      <w:pPr>
        <w:ind w:firstLine="5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инспекцией труда в Ставропольском крае по результатам проведенных надзорно-контрольных мероприятий  вынесено 1027 постановлений о назначении административных наказаний в виде штрафа</w:t>
      </w:r>
      <w:r w:rsidR="004D0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22 млн. 85 тыс.</w:t>
      </w:r>
      <w:r w:rsidR="006D6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58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за нарушения государственных нормативных требов</w:t>
      </w:r>
      <w:r w:rsidR="004D05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охраны труда 45</w:t>
      </w:r>
      <w:r w:rsidR="00755E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0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12 млн. 230 тыс. руб., что составляет 55 %, из них:</w:t>
      </w:r>
      <w:proofErr w:type="gramEnd"/>
    </w:p>
    <w:p w:rsidR="00EB349C" w:rsidRDefault="004D058B" w:rsidP="00987434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proofErr w:type="gramStart"/>
      <w:r w:rsidRPr="00EB349C">
        <w:rPr>
          <w:sz w:val="28"/>
          <w:szCs w:val="28"/>
        </w:rPr>
        <w:t xml:space="preserve">за нарушения государственных нормативных требований охраны труда, содержащихся в федеральных законах и иных нормативных правовых актах РФ (ч.1 ст.5.27.1 КоАП РФ) -188 </w:t>
      </w:r>
      <w:r w:rsidR="00EB349C" w:rsidRPr="00EB349C">
        <w:rPr>
          <w:sz w:val="28"/>
          <w:szCs w:val="28"/>
        </w:rPr>
        <w:t xml:space="preserve">постановлений </w:t>
      </w:r>
      <w:r w:rsidR="00755EB4">
        <w:rPr>
          <w:sz w:val="28"/>
          <w:szCs w:val="28"/>
        </w:rPr>
        <w:t>или 40</w:t>
      </w:r>
      <w:r w:rsidRPr="00EB349C">
        <w:rPr>
          <w:sz w:val="28"/>
          <w:szCs w:val="28"/>
        </w:rPr>
        <w:t xml:space="preserve"> % от общего количества по охране труда</w:t>
      </w:r>
      <w:r w:rsidR="00EB349C" w:rsidRPr="00EB349C">
        <w:rPr>
          <w:sz w:val="28"/>
          <w:szCs w:val="28"/>
        </w:rPr>
        <w:t>, сумма штрафа - 4 млн. 98 тыс.</w:t>
      </w:r>
      <w:r w:rsidR="006D60C5">
        <w:rPr>
          <w:sz w:val="28"/>
          <w:szCs w:val="28"/>
        </w:rPr>
        <w:t xml:space="preserve"> </w:t>
      </w:r>
      <w:r w:rsidR="00EB349C" w:rsidRPr="00EB349C">
        <w:rPr>
          <w:sz w:val="28"/>
          <w:szCs w:val="28"/>
        </w:rPr>
        <w:t>руб.</w:t>
      </w:r>
      <w:r w:rsidR="007A6708">
        <w:rPr>
          <w:sz w:val="28"/>
          <w:szCs w:val="28"/>
        </w:rPr>
        <w:t xml:space="preserve"> (несоответствие эксплуатируемого оборудования, зданий и сооружений, </w:t>
      </w:r>
      <w:r w:rsidR="00EB6B92">
        <w:rPr>
          <w:sz w:val="28"/>
          <w:szCs w:val="28"/>
        </w:rPr>
        <w:t xml:space="preserve">необеспечение средствами индивидуальной защиты и моющими средствами работников, </w:t>
      </w:r>
      <w:r w:rsidR="007A6708">
        <w:rPr>
          <w:sz w:val="28"/>
          <w:szCs w:val="28"/>
        </w:rPr>
        <w:t>отсутствие или разработка в неполном объеме</w:t>
      </w:r>
      <w:proofErr w:type="gramEnd"/>
      <w:r w:rsidR="007A6708">
        <w:rPr>
          <w:sz w:val="28"/>
          <w:szCs w:val="28"/>
        </w:rPr>
        <w:t xml:space="preserve"> локальных  актов, регулирующих вопросы охраны труда и т.д.)</w:t>
      </w:r>
      <w:r w:rsidRPr="00EB349C">
        <w:rPr>
          <w:sz w:val="28"/>
          <w:szCs w:val="28"/>
        </w:rPr>
        <w:t>;</w:t>
      </w:r>
    </w:p>
    <w:p w:rsidR="00EB349C" w:rsidRDefault="00EB349C" w:rsidP="00EB349C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r w:rsidRPr="00EB349C">
        <w:rPr>
          <w:sz w:val="28"/>
          <w:szCs w:val="28"/>
        </w:rPr>
        <w:t xml:space="preserve">за нарушения работодателем установленного порядка проведения специальной оценки условий труда на рабочем месте или ее </w:t>
      </w:r>
      <w:proofErr w:type="spellStart"/>
      <w:r w:rsidRPr="00EB349C">
        <w:rPr>
          <w:sz w:val="28"/>
          <w:szCs w:val="28"/>
        </w:rPr>
        <w:t>непроведение</w:t>
      </w:r>
      <w:proofErr w:type="spellEnd"/>
      <w:r w:rsidRPr="00EB349C">
        <w:rPr>
          <w:sz w:val="28"/>
          <w:szCs w:val="28"/>
        </w:rPr>
        <w:t xml:space="preserve"> (ч.2 ст.5.27.1 КоАП РФ) – 109 или 24 %, сумма штрафа составил 1млн.193тыс</w:t>
      </w:r>
      <w:proofErr w:type="gramStart"/>
      <w:r w:rsidRPr="00EB349C">
        <w:rPr>
          <w:sz w:val="28"/>
          <w:szCs w:val="28"/>
        </w:rPr>
        <w:t>.р</w:t>
      </w:r>
      <w:proofErr w:type="gramEnd"/>
      <w:r w:rsidRPr="00EB349C">
        <w:rPr>
          <w:sz w:val="28"/>
          <w:szCs w:val="28"/>
        </w:rPr>
        <w:t xml:space="preserve">уб., в том числе за </w:t>
      </w:r>
      <w:proofErr w:type="spellStart"/>
      <w:r w:rsidRPr="00EB349C">
        <w:rPr>
          <w:sz w:val="28"/>
          <w:szCs w:val="28"/>
        </w:rPr>
        <w:t>непроведение</w:t>
      </w:r>
      <w:proofErr w:type="spellEnd"/>
      <w:r w:rsidRPr="00EB349C">
        <w:rPr>
          <w:sz w:val="28"/>
          <w:szCs w:val="28"/>
        </w:rPr>
        <w:t xml:space="preserve"> -</w:t>
      </w:r>
      <w:r w:rsidR="008D3040">
        <w:rPr>
          <w:sz w:val="28"/>
          <w:szCs w:val="28"/>
        </w:rPr>
        <w:t xml:space="preserve"> </w:t>
      </w:r>
      <w:r w:rsidRPr="00EB349C">
        <w:rPr>
          <w:sz w:val="28"/>
          <w:szCs w:val="28"/>
        </w:rPr>
        <w:t>336 тыс.</w:t>
      </w:r>
      <w:r w:rsidR="006D60C5">
        <w:rPr>
          <w:sz w:val="28"/>
          <w:szCs w:val="28"/>
        </w:rPr>
        <w:t xml:space="preserve"> </w:t>
      </w:r>
      <w:r w:rsidRPr="00EB349C">
        <w:rPr>
          <w:sz w:val="28"/>
          <w:szCs w:val="28"/>
        </w:rPr>
        <w:t>руб.;</w:t>
      </w:r>
    </w:p>
    <w:p w:rsidR="00EB349C" w:rsidRDefault="00EB349C" w:rsidP="00EB349C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proofErr w:type="gramStart"/>
      <w:r w:rsidRPr="00EB349C">
        <w:rPr>
          <w:sz w:val="28"/>
          <w:szCs w:val="28"/>
        </w:rPr>
        <w:lastRenderedPageBreak/>
        <w:t>допуск работника к исполнению им трудовых обязанностей без прохождения в установленном порядке обучения и проверки знаний требований охраны труда, а также обязательных предварительных (при поступлении на работу) и периодических (в течение трудовой деятельности) медицинских осмотров, обязательных медицинских осмотров в начале рабочего дня (смены), обязательных психиатрических освидетельствований или при наличии медицинских противопоказаний (ч.3 ст.5.27.1 КоАП РФ) – 135 или 30</w:t>
      </w:r>
      <w:proofErr w:type="gramEnd"/>
      <w:r w:rsidRPr="00EB349C">
        <w:rPr>
          <w:sz w:val="28"/>
          <w:szCs w:val="28"/>
        </w:rPr>
        <w:t xml:space="preserve"> %, сумма штрафов -6 млн. 194 тыс.</w:t>
      </w:r>
      <w:r w:rsidR="006D60C5">
        <w:rPr>
          <w:sz w:val="28"/>
          <w:szCs w:val="28"/>
        </w:rPr>
        <w:t xml:space="preserve"> </w:t>
      </w:r>
      <w:r w:rsidRPr="00EB349C">
        <w:rPr>
          <w:sz w:val="28"/>
          <w:szCs w:val="28"/>
        </w:rPr>
        <w:t>руб.</w:t>
      </w:r>
    </w:p>
    <w:p w:rsidR="008D3040" w:rsidRDefault="00EB349C" w:rsidP="00EB6B92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r w:rsidRPr="00EB349C">
        <w:rPr>
          <w:sz w:val="28"/>
          <w:szCs w:val="28"/>
        </w:rPr>
        <w:t>Необеспечение работников средствами индивидуальной защиты (ч.</w:t>
      </w:r>
      <w:r>
        <w:rPr>
          <w:sz w:val="28"/>
          <w:szCs w:val="28"/>
        </w:rPr>
        <w:t>4</w:t>
      </w:r>
      <w:r w:rsidRPr="00EB349C">
        <w:rPr>
          <w:sz w:val="28"/>
          <w:szCs w:val="28"/>
        </w:rPr>
        <w:t xml:space="preserve"> ст.5.27.1 КоАП РФ) – -</w:t>
      </w:r>
      <w:r>
        <w:rPr>
          <w:sz w:val="28"/>
          <w:szCs w:val="28"/>
        </w:rPr>
        <w:t>27 или 6 %, сумма штрафов составила</w:t>
      </w:r>
      <w:r w:rsidR="00C54A4F">
        <w:rPr>
          <w:sz w:val="28"/>
          <w:szCs w:val="28"/>
        </w:rPr>
        <w:t xml:space="preserve"> 1млн.740 </w:t>
      </w:r>
      <w:proofErr w:type="spellStart"/>
      <w:r w:rsidR="00C54A4F">
        <w:rPr>
          <w:sz w:val="28"/>
          <w:szCs w:val="28"/>
        </w:rPr>
        <w:t>тыс</w:t>
      </w:r>
      <w:proofErr w:type="gramStart"/>
      <w:r w:rsidR="00C54A4F">
        <w:rPr>
          <w:sz w:val="28"/>
          <w:szCs w:val="28"/>
        </w:rPr>
        <w:t>.р</w:t>
      </w:r>
      <w:proofErr w:type="gramEnd"/>
      <w:r w:rsidR="00C54A4F">
        <w:rPr>
          <w:sz w:val="28"/>
          <w:szCs w:val="28"/>
        </w:rPr>
        <w:t>уб</w:t>
      </w:r>
      <w:proofErr w:type="spellEnd"/>
      <w:r w:rsidR="00C54A4F">
        <w:rPr>
          <w:sz w:val="28"/>
          <w:szCs w:val="28"/>
        </w:rPr>
        <w:t>.</w:t>
      </w:r>
      <w:r w:rsidR="007A6708">
        <w:rPr>
          <w:sz w:val="28"/>
          <w:szCs w:val="28"/>
        </w:rPr>
        <w:t xml:space="preserve"> (в эту часть включены </w:t>
      </w:r>
      <w:r w:rsidR="00EB6B92" w:rsidRPr="00EB6B92">
        <w:rPr>
          <w:sz w:val="28"/>
          <w:szCs w:val="28"/>
        </w:rPr>
        <w:t xml:space="preserve">средствами индивидуальной защиты </w:t>
      </w:r>
      <w:r w:rsidR="00C14CB0">
        <w:rPr>
          <w:sz w:val="28"/>
          <w:szCs w:val="28"/>
        </w:rPr>
        <w:t xml:space="preserve">отнесенные </w:t>
      </w:r>
      <w:r w:rsidR="007A6708" w:rsidRPr="007A6708">
        <w:rPr>
          <w:sz w:val="28"/>
          <w:szCs w:val="28"/>
        </w:rPr>
        <w:t>ко 2 классу в зависимости от степени риска причинения вреда работнику</w:t>
      </w:r>
      <w:r w:rsidR="00EB6B92">
        <w:rPr>
          <w:sz w:val="28"/>
          <w:szCs w:val="28"/>
        </w:rPr>
        <w:t>)</w:t>
      </w:r>
      <w:r w:rsidR="007A6708" w:rsidRPr="007A6708">
        <w:rPr>
          <w:sz w:val="28"/>
          <w:szCs w:val="28"/>
        </w:rPr>
        <w:t>.</w:t>
      </w:r>
    </w:p>
    <w:p w:rsidR="00490AD3" w:rsidRDefault="00490AD3" w:rsidP="008D3040">
      <w:pPr>
        <w:pStyle w:val="a4"/>
        <w:ind w:left="0" w:firstLine="709"/>
        <w:jc w:val="both"/>
        <w:rPr>
          <w:sz w:val="28"/>
          <w:szCs w:val="28"/>
        </w:rPr>
      </w:pPr>
    </w:p>
    <w:p w:rsidR="00490AD3" w:rsidRPr="00B62A41" w:rsidRDefault="00490AD3" w:rsidP="00B62A41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</w:t>
      </w:r>
    </w:p>
    <w:p w:rsidR="00987434" w:rsidRPr="00812F87" w:rsidRDefault="008D3040" w:rsidP="008D304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данного анализа можно выделить х</w:t>
      </w:r>
      <w:r w:rsidR="00987434" w:rsidRPr="00812F87">
        <w:rPr>
          <w:sz w:val="28"/>
          <w:szCs w:val="28"/>
        </w:rPr>
        <w:t>арактерные нарушения в области охраны труда:</w:t>
      </w:r>
    </w:p>
    <w:p w:rsidR="008D3040" w:rsidRDefault="008D3040" w:rsidP="008D304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D3040">
        <w:rPr>
          <w:sz w:val="28"/>
          <w:szCs w:val="28"/>
        </w:rPr>
        <w:t>отсутствие системы управления охраной труда в организациях</w:t>
      </w:r>
      <w:r w:rsidR="00490AD3">
        <w:rPr>
          <w:sz w:val="28"/>
          <w:szCs w:val="28"/>
        </w:rPr>
        <w:t>, не проводится детальный анализ профессиональных рисков на рабочих местах, и соответственно не реализуются мероприятия по их предотвращению</w:t>
      </w:r>
      <w:r w:rsidR="007D5E60" w:rsidRPr="008D3040">
        <w:rPr>
          <w:sz w:val="28"/>
          <w:szCs w:val="28"/>
        </w:rPr>
        <w:t>;</w:t>
      </w:r>
    </w:p>
    <w:p w:rsidR="008D3040" w:rsidRDefault="00987434" w:rsidP="008D3040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D3040">
        <w:rPr>
          <w:sz w:val="28"/>
          <w:szCs w:val="28"/>
        </w:rPr>
        <w:t>нарушения порядка проведения обучения и инструктирования работников по охране труда</w:t>
      </w:r>
      <w:r w:rsidR="00490AD3">
        <w:rPr>
          <w:sz w:val="28"/>
          <w:szCs w:val="28"/>
        </w:rPr>
        <w:t>, в результате чего работники допускаются к работе без элементарных знаний требований безопасности</w:t>
      </w:r>
      <w:r w:rsidRPr="008D3040">
        <w:rPr>
          <w:sz w:val="28"/>
          <w:szCs w:val="28"/>
        </w:rPr>
        <w:t>;</w:t>
      </w:r>
    </w:p>
    <w:p w:rsidR="008D3040" w:rsidRDefault="00987434" w:rsidP="00987434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r w:rsidRPr="008D3040">
        <w:rPr>
          <w:sz w:val="28"/>
          <w:szCs w:val="28"/>
        </w:rPr>
        <w:t>нарушения порядка проведения обязательных медицинских осмотров и психиатрических освидетельствований работников</w:t>
      </w:r>
      <w:r w:rsidR="00490AD3">
        <w:rPr>
          <w:sz w:val="28"/>
          <w:szCs w:val="28"/>
        </w:rPr>
        <w:t xml:space="preserve">, а именно работники </w:t>
      </w:r>
      <w:r w:rsidR="0090693E">
        <w:rPr>
          <w:sz w:val="28"/>
          <w:szCs w:val="28"/>
        </w:rPr>
        <w:t>не проходят предварительные и  периодические медицинские осмотры и психиатрические освидетельствования</w:t>
      </w:r>
      <w:r w:rsidRPr="008D3040">
        <w:rPr>
          <w:sz w:val="28"/>
          <w:szCs w:val="28"/>
        </w:rPr>
        <w:t>;</w:t>
      </w:r>
    </w:p>
    <w:p w:rsidR="008D3040" w:rsidRDefault="00987434" w:rsidP="00987434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r w:rsidRPr="008D3040">
        <w:rPr>
          <w:sz w:val="28"/>
          <w:szCs w:val="28"/>
        </w:rPr>
        <w:t xml:space="preserve">не соблюдение установленного </w:t>
      </w:r>
      <w:proofErr w:type="gramStart"/>
      <w:r w:rsidRPr="008D3040">
        <w:rPr>
          <w:sz w:val="28"/>
          <w:szCs w:val="28"/>
        </w:rPr>
        <w:t>порядка проведения специальной оценки условий труда</w:t>
      </w:r>
      <w:proofErr w:type="gramEnd"/>
      <w:r w:rsidRPr="008D3040">
        <w:rPr>
          <w:sz w:val="28"/>
          <w:szCs w:val="28"/>
        </w:rPr>
        <w:t xml:space="preserve"> на рабочих местах</w:t>
      </w:r>
      <w:r w:rsidR="0090693E">
        <w:rPr>
          <w:sz w:val="28"/>
          <w:szCs w:val="28"/>
        </w:rPr>
        <w:t xml:space="preserve">, зачастую работодатели не знакомят работников с результатами </w:t>
      </w:r>
      <w:proofErr w:type="spellStart"/>
      <w:r w:rsidR="0090693E">
        <w:rPr>
          <w:sz w:val="28"/>
          <w:szCs w:val="28"/>
        </w:rPr>
        <w:t>спецоценки</w:t>
      </w:r>
      <w:proofErr w:type="spellEnd"/>
      <w:r w:rsidR="0090693E">
        <w:rPr>
          <w:sz w:val="28"/>
          <w:szCs w:val="28"/>
        </w:rPr>
        <w:t>, не учитываются  предложения работников по осуществлению на их рабочих местах выявления потенциально вредных и опасных  производственных факторов</w:t>
      </w:r>
      <w:r w:rsidRPr="008D3040">
        <w:rPr>
          <w:sz w:val="28"/>
          <w:szCs w:val="28"/>
        </w:rPr>
        <w:t>;</w:t>
      </w:r>
      <w:r w:rsidR="008D3040" w:rsidRPr="008D3040">
        <w:rPr>
          <w:sz w:val="28"/>
          <w:szCs w:val="28"/>
        </w:rPr>
        <w:t xml:space="preserve"> </w:t>
      </w:r>
    </w:p>
    <w:p w:rsidR="00987434" w:rsidRDefault="00987434" w:rsidP="00987434">
      <w:pPr>
        <w:pStyle w:val="a4"/>
        <w:numPr>
          <w:ilvl w:val="0"/>
          <w:numId w:val="3"/>
        </w:numPr>
        <w:ind w:left="0" w:firstLine="517"/>
        <w:jc w:val="both"/>
        <w:rPr>
          <w:sz w:val="28"/>
          <w:szCs w:val="28"/>
        </w:rPr>
      </w:pPr>
      <w:r w:rsidRPr="008D3040">
        <w:rPr>
          <w:sz w:val="28"/>
          <w:szCs w:val="28"/>
        </w:rPr>
        <w:t>нарушения порядка расследования, оформления и учета несчастных случаев на производстве</w:t>
      </w:r>
      <w:r w:rsidR="00DE7459">
        <w:rPr>
          <w:sz w:val="28"/>
          <w:szCs w:val="28"/>
        </w:rPr>
        <w:t xml:space="preserve">, в том числе </w:t>
      </w:r>
      <w:proofErr w:type="spellStart"/>
      <w:r w:rsidR="00DE7459">
        <w:rPr>
          <w:sz w:val="28"/>
          <w:szCs w:val="28"/>
        </w:rPr>
        <w:t>непроведение</w:t>
      </w:r>
      <w:proofErr w:type="spellEnd"/>
      <w:r w:rsidR="00DE7459">
        <w:rPr>
          <w:sz w:val="28"/>
          <w:szCs w:val="28"/>
        </w:rPr>
        <w:t xml:space="preserve"> расследований несчастных случаев или нарушение сроков расследований, </w:t>
      </w:r>
      <w:proofErr w:type="spellStart"/>
      <w:r w:rsidR="00DE7459">
        <w:rPr>
          <w:sz w:val="28"/>
          <w:szCs w:val="28"/>
        </w:rPr>
        <w:t>непредоставление</w:t>
      </w:r>
      <w:proofErr w:type="spellEnd"/>
      <w:r w:rsidR="00DE7459">
        <w:rPr>
          <w:sz w:val="28"/>
          <w:szCs w:val="28"/>
        </w:rPr>
        <w:t xml:space="preserve"> сообщений о последствиях несчастных случаев в Государственную инспекцию труда</w:t>
      </w:r>
      <w:r w:rsidRPr="008D3040">
        <w:rPr>
          <w:sz w:val="28"/>
          <w:szCs w:val="28"/>
        </w:rPr>
        <w:t>.</w:t>
      </w:r>
    </w:p>
    <w:p w:rsidR="008D3040" w:rsidRDefault="008D3040" w:rsidP="008D3040">
      <w:pPr>
        <w:pStyle w:val="a4"/>
        <w:ind w:left="517"/>
        <w:jc w:val="both"/>
        <w:rPr>
          <w:sz w:val="28"/>
          <w:szCs w:val="28"/>
        </w:rPr>
      </w:pPr>
    </w:p>
    <w:p w:rsidR="00B20892" w:rsidRPr="00B20892" w:rsidRDefault="00B20892" w:rsidP="008D3040">
      <w:pPr>
        <w:pStyle w:val="a4"/>
        <w:ind w:left="517"/>
        <w:jc w:val="both"/>
        <w:rPr>
          <w:i/>
          <w:sz w:val="28"/>
          <w:szCs w:val="28"/>
        </w:rPr>
      </w:pPr>
      <w:r w:rsidRPr="00CC1B2E">
        <w:rPr>
          <w:b/>
          <w:sz w:val="28"/>
          <w:szCs w:val="28"/>
        </w:rPr>
        <w:t xml:space="preserve">СЛАЙД </w:t>
      </w:r>
      <w:r w:rsidR="009C217F" w:rsidRPr="00CC1B2E">
        <w:rPr>
          <w:b/>
          <w:sz w:val="28"/>
          <w:szCs w:val="28"/>
        </w:rPr>
        <w:t>5</w:t>
      </w:r>
      <w:r w:rsidR="009C217F">
        <w:rPr>
          <w:i/>
          <w:sz w:val="28"/>
          <w:szCs w:val="28"/>
        </w:rPr>
        <w:t xml:space="preserve"> </w:t>
      </w:r>
      <w:r w:rsidRPr="00B20892">
        <w:rPr>
          <w:i/>
          <w:sz w:val="28"/>
          <w:szCs w:val="28"/>
        </w:rPr>
        <w:t>–</w:t>
      </w:r>
      <w:r w:rsidR="009C217F">
        <w:rPr>
          <w:i/>
          <w:sz w:val="28"/>
          <w:szCs w:val="28"/>
        </w:rPr>
        <w:t xml:space="preserve"> </w:t>
      </w:r>
      <w:proofErr w:type="gramStart"/>
      <w:r w:rsidRPr="00B20892">
        <w:rPr>
          <w:i/>
          <w:sz w:val="28"/>
          <w:szCs w:val="28"/>
        </w:rPr>
        <w:t>Риск-ориентированный</w:t>
      </w:r>
      <w:proofErr w:type="gramEnd"/>
      <w:r w:rsidRPr="00B20892">
        <w:rPr>
          <w:i/>
          <w:sz w:val="28"/>
          <w:szCs w:val="28"/>
        </w:rPr>
        <w:t xml:space="preserve"> подход</w:t>
      </w:r>
    </w:p>
    <w:p w:rsidR="00B20892" w:rsidRPr="009C217F" w:rsidRDefault="009C217F" w:rsidP="009C217F">
      <w:pPr>
        <w:pStyle w:val="a4"/>
        <w:ind w:left="0" w:firstLine="709"/>
        <w:jc w:val="both"/>
        <w:rPr>
          <w:sz w:val="28"/>
          <w:szCs w:val="28"/>
        </w:rPr>
      </w:pPr>
      <w:r w:rsidRPr="009C217F">
        <w:rPr>
          <w:sz w:val="28"/>
          <w:szCs w:val="28"/>
        </w:rPr>
        <w:t xml:space="preserve">С 2018 года Государственная инспекция труда в Ставропольском крае перешла на </w:t>
      </w:r>
      <w:proofErr w:type="gramStart"/>
      <w:r w:rsidRPr="009C217F">
        <w:rPr>
          <w:sz w:val="28"/>
          <w:szCs w:val="28"/>
        </w:rPr>
        <w:t>риск-ориентированный</w:t>
      </w:r>
      <w:proofErr w:type="gramEnd"/>
      <w:r w:rsidRPr="009C217F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.</w:t>
      </w:r>
    </w:p>
    <w:p w:rsidR="00C14CB0" w:rsidRPr="00C14CB0" w:rsidRDefault="00C14CB0" w:rsidP="00C14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установлении категории риска д</w:t>
      </w:r>
      <w:r w:rsidRP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юридических лиц или индивидуальных предпринимателей предусмотрен </w:t>
      </w:r>
      <w:r w:rsidRPr="00C14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коэффициент </w:t>
      </w:r>
      <w:r w:rsidRPr="00C14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устойчивости их добросовестного поведения (Ку)</w:t>
      </w:r>
      <w:r w:rsidRP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рассчитывается для каждого работодателя на основании следующих показателей:</w:t>
      </w:r>
    </w:p>
    <w:p w:rsidR="00C14CB0" w:rsidRPr="00C14CB0" w:rsidRDefault="00C14CB0" w:rsidP="00C14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несчастных случаев;</w:t>
      </w:r>
    </w:p>
    <w:p w:rsidR="00C14CB0" w:rsidRPr="00C14CB0" w:rsidRDefault="00C14CB0" w:rsidP="00C14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факта задолженности по заработной плате;</w:t>
      </w:r>
    </w:p>
    <w:p w:rsidR="00C14CB0" w:rsidRPr="00C14CB0" w:rsidRDefault="00C14CB0" w:rsidP="00C14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факта назначения административных наказаний</w:t>
      </w:r>
      <w:r w:rsidRPr="003351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60C5" w:rsidRDefault="006D60C5" w:rsidP="00C14CB0">
      <w:pPr>
        <w:shd w:val="clear" w:color="auto" w:fill="FFFFFF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6D60C5" w:rsidRDefault="006D60C5" w:rsidP="006D60C5">
      <w:pPr>
        <w:pStyle w:val="a4"/>
        <w:ind w:left="517"/>
        <w:jc w:val="both"/>
        <w:rPr>
          <w:b/>
          <w:sz w:val="28"/>
          <w:szCs w:val="28"/>
        </w:rPr>
      </w:pPr>
      <w:r w:rsidRPr="00CC1B2E">
        <w:rPr>
          <w:b/>
          <w:sz w:val="28"/>
          <w:szCs w:val="28"/>
        </w:rPr>
        <w:t>СЛАЙД 5</w:t>
      </w:r>
      <w:r>
        <w:rPr>
          <w:b/>
          <w:sz w:val="28"/>
          <w:szCs w:val="28"/>
        </w:rPr>
        <w:t>.1</w:t>
      </w:r>
    </w:p>
    <w:p w:rsidR="00C14CB0" w:rsidRPr="00C14CB0" w:rsidRDefault="00C14CB0" w:rsidP="00C14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категории риска устанавливается   периодичность проведения плановых проверок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C14CB0" w:rsidRPr="00C14CB0" w:rsidTr="00033BA6">
        <w:tc>
          <w:tcPr>
            <w:tcW w:w="3085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Категория риска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Периодичность проведения плановых проверок</w:t>
            </w:r>
          </w:p>
        </w:tc>
      </w:tr>
      <w:tr w:rsidR="00C14CB0" w:rsidRPr="00C14CB0" w:rsidTr="00033BA6">
        <w:tc>
          <w:tcPr>
            <w:tcW w:w="3085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2 года</w:t>
            </w:r>
          </w:p>
        </w:tc>
      </w:tr>
      <w:tr w:rsidR="00C14CB0" w:rsidRPr="00C14CB0" w:rsidTr="00033BA6">
        <w:tc>
          <w:tcPr>
            <w:tcW w:w="3085" w:type="dxa"/>
            <w:shd w:val="clear" w:color="auto" w:fill="auto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значительный</w:t>
            </w:r>
          </w:p>
        </w:tc>
        <w:tc>
          <w:tcPr>
            <w:tcW w:w="6379" w:type="dxa"/>
            <w:shd w:val="clear" w:color="auto" w:fill="auto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3 года</w:t>
            </w:r>
          </w:p>
        </w:tc>
      </w:tr>
      <w:tr w:rsidR="00C14CB0" w:rsidRPr="00C14CB0" w:rsidTr="00033BA6">
        <w:tc>
          <w:tcPr>
            <w:tcW w:w="3085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чаще, чем 1 раз в 5 лет</w:t>
            </w:r>
          </w:p>
        </w:tc>
      </w:tr>
      <w:tr w:rsidR="00C14CB0" w:rsidRPr="00C14CB0" w:rsidTr="00033BA6">
        <w:trPr>
          <w:trHeight w:val="725"/>
        </w:trPr>
        <w:tc>
          <w:tcPr>
            <w:tcW w:w="3085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умеренный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чаще, чем 1 раз в 6 лет</w:t>
            </w:r>
          </w:p>
          <w:p w:rsidR="00C14CB0" w:rsidRPr="00C14CB0" w:rsidRDefault="00C14CB0" w:rsidP="00C14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4CB0" w:rsidRPr="00C14CB0" w:rsidRDefault="00C14CB0" w:rsidP="00C14CB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CB0">
        <w:rPr>
          <w:rFonts w:ascii="Times New Roman" w:eastAsia="Calibri" w:hAnsi="Times New Roman" w:cs="Times New Roman"/>
          <w:sz w:val="28"/>
          <w:szCs w:val="28"/>
        </w:rPr>
        <w:t xml:space="preserve">В отношении юридических лиц и индивидуальных предпринимателей,  деятельность которых отнесена </w:t>
      </w:r>
      <w:r w:rsidRPr="00C14CB0">
        <w:rPr>
          <w:rFonts w:ascii="Times New Roman" w:eastAsia="Calibri" w:hAnsi="Times New Roman" w:cs="Times New Roman"/>
          <w:b/>
          <w:sz w:val="28"/>
          <w:szCs w:val="28"/>
        </w:rPr>
        <w:t>к низкой категории риска, плановые проверки проводиться не будут.</w:t>
      </w:r>
    </w:p>
    <w:p w:rsidR="009C217F" w:rsidRDefault="009C217F" w:rsidP="008D3040">
      <w:pPr>
        <w:pStyle w:val="a4"/>
        <w:ind w:left="517"/>
        <w:jc w:val="both"/>
        <w:rPr>
          <w:i/>
          <w:sz w:val="28"/>
          <w:szCs w:val="28"/>
        </w:rPr>
      </w:pPr>
    </w:p>
    <w:p w:rsidR="009C217F" w:rsidRPr="00CC1B2E" w:rsidRDefault="009C217F" w:rsidP="00CC1B2E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6</w:t>
      </w:r>
    </w:p>
    <w:p w:rsidR="004C4BAF" w:rsidRDefault="00A07230" w:rsidP="00951500">
      <w:pPr>
        <w:shd w:val="clear" w:color="auto" w:fill="FFFFFF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Государственн</w:t>
      </w:r>
      <w:r w:rsidR="009C217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ая инспекция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труда </w:t>
      </w:r>
      <w:r w:rsidR="009C217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при проведении плановых проверок 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использу</w:t>
      </w:r>
      <w:r w:rsidR="009C217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 133 проверочных лист</w:t>
      </w:r>
      <w:r w:rsidR="009C217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9C217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которые 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утверждены приказом </w:t>
      </w:r>
      <w:r w:rsidR="009C47F9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Роструда от 10.11.2017 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№ 655. Ряд проверочных листов уже утратили силу, так как </w:t>
      </w:r>
      <w:r w:rsidR="004C4BAF"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признаны утратившими силу </w:t>
      </w:r>
      <w:r w:rsidRPr="00812F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Правила по охране труда в автомобильном транспорте от 12 мая 2003 г. N 28.</w:t>
      </w:r>
    </w:p>
    <w:p w:rsidR="00951500" w:rsidRPr="00812F87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применения проверочных листов при проведении плановых проверок показывает, что количество выявленных нарушений увеличилось, в среднем на одной проверке применяется 4</w:t>
      </w:r>
      <w:r w:rsidR="008D30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проверочных листов  из общего количества утвержденных проверочных листов. </w:t>
      </w:r>
    </w:p>
    <w:p w:rsidR="004C4BAF" w:rsidRDefault="004C4BAF" w:rsidP="004C4BA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проверочных листов позволило повысить прозрачность контрольно-надзорных мероприятий,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сократить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плановых проверок.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работодатель может самостоятельно провести самопроверку по данным проверочным мероприятиям, которые находятся в открытом доступе.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BAF" w:rsidRPr="00CC1B2E" w:rsidRDefault="004C4BAF" w:rsidP="00CC1B2E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7</w:t>
      </w:r>
    </w:p>
    <w:p w:rsidR="004C4BAF" w:rsidRDefault="004C4BAF" w:rsidP="004C4BA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работодатель может</w:t>
      </w:r>
      <w:r w:rsidRPr="004C4BAF">
        <w:t xml:space="preserve"> </w:t>
      </w:r>
      <w:r w:rsidR="00AC2FFC" w:rsidRPr="00AC2FF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воспользоваться</w:t>
      </w:r>
      <w:r w:rsidR="00AC2FFC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онлайн-сервисом </w:t>
      </w:r>
      <w:r w:rsidRPr="004C4BAF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«Электронный инспектор»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в значительной степени</w:t>
      </w:r>
      <w:r w:rsidRPr="004C4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</w:t>
      </w:r>
      <w:r w:rsidR="00AC2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выявить самостоятельно нарушения законодательства и соответственно до начала проведения проверки ГИТ их устранить</w:t>
      </w:r>
      <w:r w:rsidRPr="004C4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47F9" w:rsidRDefault="009C47F9" w:rsidP="004C4BAF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DA5" w:rsidRPr="00CC1B2E" w:rsidRDefault="000E4DA5" w:rsidP="00CC1B2E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</w:p>
    <w:p w:rsidR="0033513E" w:rsidRDefault="0007340F" w:rsidP="00B2089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ст.212 Трудового кодекса РФ каждый работодатель обязан создать систему управления охраной труда и обеспечить ее функционирование. </w:t>
      </w:r>
      <w:r w:rsidR="000E4D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специфики деятельности работодателя она включает в себя</w:t>
      </w:r>
      <w:r w:rsidR="00EB6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</w:t>
      </w:r>
      <w:r w:rsidR="00AC2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</w:t>
      </w:r>
      <w:r w:rsidR="00EB6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на </w:t>
      </w:r>
      <w:r w:rsidR="00EB6B92" w:rsidRPr="00EB6B9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последовательных и непрерывных мероприятий по предупреждению происшествий</w:t>
      </w:r>
      <w:r w:rsidR="00D0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E4DA5" w:rsidRDefault="00D05A75" w:rsidP="00B2089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три блока: Блока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Блок Б, Блок В</w:t>
      </w:r>
      <w:r w:rsidR="000E4D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60C5" w:rsidRPr="00CC1B2E" w:rsidRDefault="006D60C5" w:rsidP="006D60C5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</w:p>
    <w:p w:rsidR="000E4DA5" w:rsidRDefault="00D05A75" w:rsidP="000E4D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 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 локальные нормативные акты предприятия, регулирующие вопросы охраны труда. Он включает в себя:</w:t>
      </w:r>
      <w:r w:rsid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DA5" w:rsidRPr="000E4D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E4DA5" w:rsidRPr="000E4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работодателя в области охраны труда; цели работодателя в области охраны труда;</w:t>
      </w:r>
      <w:r w:rsid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DA5" w:rsidRPr="000E4D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обязанностей в сфере охраны труда между должностными лицами работодателя; планирование мероприятий по реализации процедур; контроль функционирования СУОТ и мониторинг реализации процедур; планирование улучшений функционирования СУОТ; реагирование на аварии, несчастные случаи и профессиональные заболевания;</w:t>
      </w:r>
      <w:r w:rsidR="0033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DA5" w:rsidRPr="000E4D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документами СУОТ.</w:t>
      </w:r>
    </w:p>
    <w:p w:rsidR="006D60C5" w:rsidRPr="00CC1B2E" w:rsidRDefault="006D60C5" w:rsidP="006D60C5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05A75" w:rsidRDefault="00D05A75" w:rsidP="000E4D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базовые процедуры, </w:t>
      </w:r>
      <w:r w:rsidR="00333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</w:t>
      </w:r>
      <w:r w:rsidR="003337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 на каждом рабочем месте и управление профессиональными рисками</w:t>
      </w:r>
      <w:r w:rsidR="00333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принятие мер по исключению или снижению риска.</w:t>
      </w:r>
    </w:p>
    <w:p w:rsidR="006D60C5" w:rsidRPr="00CC1B2E" w:rsidRDefault="006D60C5" w:rsidP="006D60C5">
      <w:pPr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3337B6" w:rsidRDefault="003337B6" w:rsidP="000E4D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обеспечительные процедуры, включает в себя изучение уровня подготовки работников, обеспечение средствами индивидуальной защиты, безопасное проведение работ, информирование работников </w:t>
      </w:r>
      <w:r w:rsid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условиях труда и т.д. </w:t>
      </w:r>
    </w:p>
    <w:p w:rsidR="00AC2FFC" w:rsidRDefault="00AC2FFC" w:rsidP="000E4D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2939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управления охраной труда, оценке профессиональных рисков остановятся следующие выступающие.</w:t>
      </w:r>
    </w:p>
    <w:p w:rsidR="00AC2FFC" w:rsidRDefault="00293937" w:rsidP="000E4D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2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C2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производственного травматизма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специальной оценки условий труда  раскроют представители ГИТ. </w:t>
      </w:r>
    </w:p>
    <w:p w:rsidR="00FE6A14" w:rsidRPr="00812F87" w:rsidRDefault="0033513E" w:rsidP="000E4D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Вместе с тем, р</w:t>
      </w:r>
      <w:r w:rsidR="00FE6A1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аботодатель обязан ознакомить работников с условиями труда на рабочем месте. В первую очередь, он вносит в трудовой договор класс условий труда, который установлен по результатам специальной оценки условий труда. Но этого недостаточно</w:t>
      </w:r>
      <w:r w:rsidR="00C14CB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E6A14" w:rsidRPr="00812F87" w:rsidRDefault="00FE6A14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спецоценке</w:t>
      </w:r>
      <w:proofErr w:type="spellEnd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оценивают влияние вредных факторов, поэтому у работодателей остается обязанность </w:t>
      </w:r>
      <w:r w:rsidRPr="00C14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ознакомить сотрудников с опасными производственными факторами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7626" w:rsidRPr="00812F87" w:rsidRDefault="00812F87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Роструд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E6A1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FE6A1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избыточным требование вносить в каждый трудовой догов</w:t>
      </w:r>
      <w:r w:rsidR="00BE61DA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6A1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р весь перечень опасностей на рабочем месте, так как это значительно усложнит документооборот. Для нас достаточно того, чтобы работника ознакомили с перечн</w:t>
      </w:r>
      <w:r w:rsidR="009C05DA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E6A1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опасностей, которые ему угрожают</w:t>
      </w:r>
      <w:r w:rsidR="009C05DA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в трудовом договоре работодателю достаточно сделать ссылку на локальный документ, в котором они указаны, например, на реестр опасностей или карту оценку рисков. </w:t>
      </w:r>
    </w:p>
    <w:p w:rsidR="00BE61DA" w:rsidRPr="00812F87" w:rsidRDefault="00BE61DA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данный момент у нас нет четких требований и критериев к тому, как именно работодатель организовал управление </w:t>
      </w:r>
      <w:proofErr w:type="spellStart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профрисками</w:t>
      </w:r>
      <w:proofErr w:type="spellEnd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на этом этапе мы будем рассмаривать любой вариант, разработанный на предприятии. При этом работодатель должен прописать</w:t>
      </w:r>
      <w:r w:rsidR="00C97C24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процедуры в своем положении и Системе управления охраны труда, так как это предусматривает Типовое положение о системе управления охраной труда, утверж</w:t>
      </w:r>
      <w:r w:rsidR="008F6865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енное приказом Минтруда от 19.0.8.2016 №438н.</w:t>
      </w:r>
    </w:p>
    <w:p w:rsidR="00BE61DA" w:rsidRPr="00812F87" w:rsidRDefault="00BE61DA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работодателей  должен быть перечень опасностей, а также перечень оце</w:t>
      </w:r>
      <w:r w:rsidR="008F6865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</w:t>
      </w:r>
      <w:r w:rsidR="00F97B10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865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рисков, но какие формы работодатели для этих документов разработают, сейчас значение не имеет.</w:t>
      </w:r>
    </w:p>
    <w:p w:rsidR="00CD3EF0" w:rsidRPr="00812F87" w:rsidRDefault="00CD3EF0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работодатель обязан рассказать работнику на инструктажах об условиях труда на его рабочем месте, в том числе </w:t>
      </w:r>
      <w:proofErr w:type="spellStart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профрисках</w:t>
      </w:r>
      <w:proofErr w:type="spellEnd"/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73ED" w:rsidRDefault="00A07230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расследований несчастных случаев </w:t>
      </w:r>
      <w:r w:rsidR="00781FF3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ГИТ детально будет изучать  оценку </w:t>
      </w:r>
      <w:proofErr w:type="spellStart"/>
      <w:r w:rsidR="00781FF3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профрисков</w:t>
      </w:r>
      <w:proofErr w:type="spellEnd"/>
      <w:r w:rsidR="00781FF3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этой целью </w:t>
      </w:r>
      <w:proofErr w:type="spellStart"/>
      <w:r w:rsidR="00781FF3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Рострудом</w:t>
      </w:r>
      <w:proofErr w:type="spellEnd"/>
      <w:r w:rsidR="00781FF3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разработаны методические рекомендации по проверке</w:t>
      </w:r>
      <w:r w:rsidR="00CE7D73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447" w:rsidRPr="00812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 обеспечения функционирования системы управления охраной труда, которые утверждены приказом  Роструда от 21.03.2019 №77.</w:t>
      </w:r>
      <w:r w:rsidR="002B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4DA5" w:rsidRPr="00CC1B2E" w:rsidRDefault="00E33B49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9</w:t>
      </w:r>
    </w:p>
    <w:p w:rsidR="00CC1B2E" w:rsidRPr="0026444C" w:rsidRDefault="00CC1B2E" w:rsidP="00CC1B2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4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Произошедшие изменения в трудовом законодательстве в 2018 году</w:t>
      </w:r>
    </w:p>
    <w:p w:rsidR="00CC1B2E" w:rsidRPr="0026444C" w:rsidRDefault="00CC1B2E" w:rsidP="00CC1B2E">
      <w:pPr>
        <w:pStyle w:val="a3"/>
        <w:spacing w:before="106" w:beforeAutospacing="0" w:after="0" w:afterAutospacing="0" w:line="400" w:lineRule="exact"/>
        <w:ind w:firstLine="709"/>
        <w:jc w:val="both"/>
        <w:textAlignment w:val="baseline"/>
        <w:rPr>
          <w:sz w:val="28"/>
          <w:szCs w:val="28"/>
        </w:rPr>
      </w:pPr>
      <w:r w:rsidRPr="0026444C">
        <w:rPr>
          <w:rFonts w:eastAsiaTheme="minorEastAsia"/>
          <w:kern w:val="24"/>
          <w:sz w:val="28"/>
          <w:szCs w:val="28"/>
        </w:rPr>
        <w:lastRenderedPageBreak/>
        <w:t>1.</w:t>
      </w:r>
      <w:r w:rsidRPr="0026444C">
        <w:rPr>
          <w:rFonts w:eastAsiaTheme="minorEastAsia"/>
          <w:kern w:val="24"/>
          <w:sz w:val="28"/>
          <w:szCs w:val="28"/>
        </w:rPr>
        <w:tab/>
        <w:t>Возложение ответственности на генерального заказчика и основного подрядчика при НС.</w:t>
      </w:r>
    </w:p>
    <w:p w:rsidR="00CC1B2E" w:rsidRPr="0026444C" w:rsidRDefault="00CC1B2E" w:rsidP="00CC1B2E">
      <w:pPr>
        <w:pStyle w:val="a4"/>
        <w:numPr>
          <w:ilvl w:val="0"/>
          <w:numId w:val="6"/>
        </w:numPr>
        <w:spacing w:line="400" w:lineRule="exact"/>
        <w:ind w:left="0" w:firstLine="709"/>
        <w:jc w:val="both"/>
        <w:textAlignment w:val="baseline"/>
        <w:rPr>
          <w:sz w:val="28"/>
          <w:szCs w:val="28"/>
        </w:rPr>
      </w:pPr>
      <w:r w:rsidRPr="0026444C">
        <w:rPr>
          <w:rFonts w:eastAsiaTheme="minorEastAsia"/>
          <w:kern w:val="24"/>
          <w:sz w:val="28"/>
          <w:szCs w:val="28"/>
        </w:rPr>
        <w:t>При несчастном случае на производстве, ГИТ может одновременно с расследованием НС проводить комплексную внеплановую проверку деятельности.</w:t>
      </w:r>
    </w:p>
    <w:p w:rsidR="00CC1B2E" w:rsidRPr="0026444C" w:rsidRDefault="00CC1B2E" w:rsidP="00CC1B2E">
      <w:pPr>
        <w:pStyle w:val="a3"/>
        <w:spacing w:before="106" w:beforeAutospacing="0" w:after="0" w:afterAutospacing="0" w:line="400" w:lineRule="exact"/>
        <w:ind w:firstLine="709"/>
        <w:jc w:val="both"/>
        <w:textAlignment w:val="baseline"/>
        <w:rPr>
          <w:sz w:val="28"/>
          <w:szCs w:val="28"/>
        </w:rPr>
      </w:pPr>
      <w:r w:rsidRPr="0026444C">
        <w:rPr>
          <w:rFonts w:eastAsiaTheme="minorEastAsia"/>
          <w:kern w:val="24"/>
          <w:sz w:val="28"/>
          <w:szCs w:val="28"/>
        </w:rPr>
        <w:t>3.</w:t>
      </w:r>
      <w:r w:rsidRPr="0026444C">
        <w:rPr>
          <w:rFonts w:eastAsiaTheme="minorEastAsia"/>
          <w:kern w:val="24"/>
          <w:sz w:val="28"/>
          <w:szCs w:val="28"/>
        </w:rPr>
        <w:tab/>
        <w:t>Формировать ежегодный план проведения плановых проверок, независимо от истекшего срока со дня их государственной регистрации, если в предшествующем году произошел несчастный случай, связанный с производством, со смертельным исходом.</w:t>
      </w:r>
      <w:bookmarkStart w:id="0" w:name="_GoBack"/>
      <w:bookmarkEnd w:id="0"/>
    </w:p>
    <w:p w:rsidR="00CC1B2E" w:rsidRDefault="00CC1B2E" w:rsidP="00CC1B2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B49" w:rsidRDefault="00E33B49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B49" w:rsidRPr="00CC1B2E" w:rsidRDefault="00E33B49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10</w:t>
      </w:r>
    </w:p>
    <w:p w:rsidR="00E33B49" w:rsidRPr="005C0F6D" w:rsidRDefault="00E33B49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своего выступления хотела сказать, какие изменения нас </w:t>
      </w:r>
      <w:proofErr w:type="gramStart"/>
      <w:r w:rsidRPr="005C0F6D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ждут в 2019 году</w:t>
      </w:r>
      <w:r w:rsidR="00CD0BC7" w:rsidRPr="005C0F6D">
        <w:rPr>
          <w:rFonts w:ascii="Times New Roman" w:hAnsi="Times New Roman" w:cs="Times New Roman"/>
          <w:sz w:val="28"/>
          <w:szCs w:val="28"/>
        </w:rPr>
        <w:t xml:space="preserve"> подготовлены</w:t>
      </w:r>
      <w:proofErr w:type="gramEnd"/>
      <w:r w:rsidR="00CD0BC7" w:rsidRPr="005C0F6D">
        <w:rPr>
          <w:rFonts w:ascii="Times New Roman" w:hAnsi="Times New Roman" w:cs="Times New Roman"/>
          <w:sz w:val="28"/>
          <w:szCs w:val="28"/>
        </w:rPr>
        <w:t xml:space="preserve"> проекты</w:t>
      </w:r>
      <w:r w:rsidRPr="005C0F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33B49" w:rsidRDefault="00CD0BC7" w:rsidP="00E33B49">
      <w:pPr>
        <w:pStyle w:val="a4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</w:t>
      </w:r>
      <w:r w:rsidR="007943FF">
        <w:rPr>
          <w:sz w:val="28"/>
          <w:szCs w:val="28"/>
        </w:rPr>
        <w:t>К</w:t>
      </w:r>
      <w:r>
        <w:rPr>
          <w:sz w:val="28"/>
          <w:szCs w:val="28"/>
        </w:rPr>
        <w:t xml:space="preserve"> РФ </w:t>
      </w:r>
      <w:r w:rsidR="007943FF">
        <w:rPr>
          <w:sz w:val="28"/>
          <w:szCs w:val="28"/>
        </w:rPr>
        <w:t xml:space="preserve">будут внесены  изменения </w:t>
      </w:r>
      <w:r>
        <w:rPr>
          <w:sz w:val="28"/>
          <w:szCs w:val="28"/>
        </w:rPr>
        <w:t>в части совершенствования механизмов предупреждения производственного травматизма и профессиональных заболеваний;</w:t>
      </w:r>
    </w:p>
    <w:p w:rsidR="00CD0BC7" w:rsidRDefault="00CD0BC7" w:rsidP="00E33B49">
      <w:pPr>
        <w:pStyle w:val="a4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</w:t>
      </w:r>
      <w:r w:rsidR="007943FF">
        <w:rPr>
          <w:sz w:val="28"/>
          <w:szCs w:val="28"/>
        </w:rPr>
        <w:t>оАП РФ</w:t>
      </w:r>
      <w:r>
        <w:rPr>
          <w:sz w:val="28"/>
          <w:szCs w:val="28"/>
        </w:rPr>
        <w:t xml:space="preserve"> уточня</w:t>
      </w:r>
      <w:r w:rsidR="007943FF">
        <w:rPr>
          <w:sz w:val="28"/>
          <w:szCs w:val="28"/>
        </w:rPr>
        <w:t>т</w:t>
      </w:r>
      <w:r>
        <w:rPr>
          <w:sz w:val="28"/>
          <w:szCs w:val="28"/>
        </w:rPr>
        <w:t xml:space="preserve"> состав административных правонарушений и  ответственност</w:t>
      </w:r>
      <w:r w:rsidR="007943FF">
        <w:rPr>
          <w:sz w:val="28"/>
          <w:szCs w:val="28"/>
        </w:rPr>
        <w:t>ь</w:t>
      </w:r>
      <w:r>
        <w:rPr>
          <w:sz w:val="28"/>
          <w:szCs w:val="28"/>
        </w:rPr>
        <w:t xml:space="preserve"> за нарушения порядка проведения </w:t>
      </w:r>
      <w:r w:rsidR="007943FF">
        <w:rPr>
          <w:sz w:val="28"/>
          <w:szCs w:val="28"/>
        </w:rPr>
        <w:t>СОУТ</w:t>
      </w:r>
      <w:r>
        <w:rPr>
          <w:sz w:val="28"/>
          <w:szCs w:val="28"/>
        </w:rPr>
        <w:t>;</w:t>
      </w:r>
    </w:p>
    <w:p w:rsidR="00CD0BC7" w:rsidRDefault="007943FF" w:rsidP="00E33B49">
      <w:pPr>
        <w:pStyle w:val="a4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ФЗ «</w:t>
      </w:r>
      <w:r w:rsidR="00CD0BC7">
        <w:rPr>
          <w:sz w:val="28"/>
          <w:szCs w:val="28"/>
        </w:rPr>
        <w:t xml:space="preserve">О специальной оценки условий труда» </w:t>
      </w:r>
      <w:r w:rsidR="006D60C5">
        <w:rPr>
          <w:sz w:val="28"/>
          <w:szCs w:val="28"/>
        </w:rPr>
        <w:t xml:space="preserve">внесут изменения </w:t>
      </w:r>
      <w:r w:rsidR="00CD0BC7">
        <w:rPr>
          <w:sz w:val="28"/>
          <w:szCs w:val="28"/>
        </w:rPr>
        <w:t>в части повышения качества специальной оценки условий труда и усилени</w:t>
      </w:r>
      <w:r>
        <w:rPr>
          <w:sz w:val="28"/>
          <w:szCs w:val="28"/>
        </w:rPr>
        <w:t>я</w:t>
      </w:r>
      <w:r w:rsidR="00CD0BC7">
        <w:rPr>
          <w:sz w:val="28"/>
          <w:szCs w:val="28"/>
        </w:rPr>
        <w:t xml:space="preserve"> ответственности организаций, проводящих специальную оценку условий труда</w:t>
      </w:r>
      <w:proofErr w:type="gramStart"/>
      <w:r w:rsidR="00CD0BC7">
        <w:rPr>
          <w:sz w:val="28"/>
          <w:szCs w:val="28"/>
        </w:rPr>
        <w:t>,;</w:t>
      </w:r>
      <w:proofErr w:type="gramEnd"/>
    </w:p>
    <w:p w:rsidR="00CD0BC7" w:rsidRDefault="00CD0BC7" w:rsidP="00E33B49">
      <w:pPr>
        <w:pStyle w:val="a4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</w:t>
      </w:r>
      <w:r w:rsidR="007943FF">
        <w:rPr>
          <w:sz w:val="28"/>
          <w:szCs w:val="28"/>
        </w:rPr>
        <w:t>.</w:t>
      </w:r>
      <w:r>
        <w:rPr>
          <w:sz w:val="28"/>
          <w:szCs w:val="28"/>
        </w:rPr>
        <w:t xml:space="preserve"> 213, 330</w:t>
      </w:r>
      <w:r w:rsidR="007943FF">
        <w:rPr>
          <w:sz w:val="28"/>
          <w:szCs w:val="28"/>
        </w:rPr>
        <w:t>.</w:t>
      </w:r>
      <w:r>
        <w:rPr>
          <w:sz w:val="28"/>
          <w:szCs w:val="28"/>
        </w:rPr>
        <w:t xml:space="preserve">3  </w:t>
      </w:r>
      <w:r w:rsidR="007943FF">
        <w:rPr>
          <w:sz w:val="28"/>
          <w:szCs w:val="28"/>
        </w:rPr>
        <w:t>ТК РФ</w:t>
      </w:r>
      <w:r>
        <w:rPr>
          <w:sz w:val="28"/>
          <w:szCs w:val="28"/>
        </w:rPr>
        <w:t xml:space="preserve"> уточн</w:t>
      </w:r>
      <w:r w:rsidR="007943FF">
        <w:rPr>
          <w:sz w:val="28"/>
          <w:szCs w:val="28"/>
        </w:rPr>
        <w:t>ят</w:t>
      </w:r>
      <w:r>
        <w:rPr>
          <w:sz w:val="28"/>
          <w:szCs w:val="28"/>
        </w:rPr>
        <w:t xml:space="preserve"> поряд</w:t>
      </w:r>
      <w:r w:rsidR="007943FF">
        <w:rPr>
          <w:sz w:val="28"/>
          <w:szCs w:val="28"/>
        </w:rPr>
        <w:t>о</w:t>
      </w:r>
      <w:r>
        <w:rPr>
          <w:sz w:val="28"/>
          <w:szCs w:val="28"/>
        </w:rPr>
        <w:t xml:space="preserve">к прохождения работниками </w:t>
      </w:r>
      <w:proofErr w:type="spellStart"/>
      <w:r>
        <w:rPr>
          <w:sz w:val="28"/>
          <w:szCs w:val="28"/>
        </w:rPr>
        <w:t>предсменных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послесменных</w:t>
      </w:r>
      <w:proofErr w:type="spellEnd"/>
      <w:r>
        <w:rPr>
          <w:sz w:val="28"/>
          <w:szCs w:val="28"/>
        </w:rPr>
        <w:t xml:space="preserve"> медицинских осмотров. </w:t>
      </w:r>
    </w:p>
    <w:p w:rsidR="005C0F6D" w:rsidRPr="00E33B49" w:rsidRDefault="005C0F6D" w:rsidP="005C0F6D">
      <w:pPr>
        <w:pStyle w:val="a4"/>
        <w:shd w:val="clear" w:color="auto" w:fill="FFFFFF"/>
        <w:ind w:left="709"/>
        <w:jc w:val="both"/>
        <w:rPr>
          <w:sz w:val="28"/>
          <w:szCs w:val="28"/>
        </w:rPr>
      </w:pPr>
    </w:p>
    <w:sectPr w:rsidR="005C0F6D" w:rsidRPr="00E33B49" w:rsidSect="009E7D28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E4DCE"/>
    <w:multiLevelType w:val="hybridMultilevel"/>
    <w:tmpl w:val="2C1206B8"/>
    <w:lvl w:ilvl="0" w:tplc="2DD25A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28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A81A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9034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36E3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904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04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6F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5066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C31706"/>
    <w:multiLevelType w:val="hybridMultilevel"/>
    <w:tmpl w:val="CDF0F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8C10EA"/>
    <w:multiLevelType w:val="hybridMultilevel"/>
    <w:tmpl w:val="100846E2"/>
    <w:lvl w:ilvl="0" w:tplc="A1328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20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788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AC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34D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0F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29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DAB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6C0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B944F18"/>
    <w:multiLevelType w:val="hybridMultilevel"/>
    <w:tmpl w:val="95EE4FF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4">
    <w:nsid w:val="7398552F"/>
    <w:multiLevelType w:val="hybridMultilevel"/>
    <w:tmpl w:val="6EE85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8243C"/>
    <w:multiLevelType w:val="hybridMultilevel"/>
    <w:tmpl w:val="B8BA324C"/>
    <w:lvl w:ilvl="0" w:tplc="EED2A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DC9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2AA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00A5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522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EAD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888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06E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74A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1B"/>
    <w:rsid w:val="0007340F"/>
    <w:rsid w:val="000D3C53"/>
    <w:rsid w:val="000E4DA5"/>
    <w:rsid w:val="00145977"/>
    <w:rsid w:val="00171869"/>
    <w:rsid w:val="00185197"/>
    <w:rsid w:val="001C49CF"/>
    <w:rsid w:val="001E0B50"/>
    <w:rsid w:val="00255F57"/>
    <w:rsid w:val="00257626"/>
    <w:rsid w:val="002741F6"/>
    <w:rsid w:val="002774C2"/>
    <w:rsid w:val="00293937"/>
    <w:rsid w:val="002B5370"/>
    <w:rsid w:val="003337B6"/>
    <w:rsid w:val="0033513E"/>
    <w:rsid w:val="0043477C"/>
    <w:rsid w:val="00490AD3"/>
    <w:rsid w:val="004C4BAF"/>
    <w:rsid w:val="004D058B"/>
    <w:rsid w:val="005508AA"/>
    <w:rsid w:val="005A0563"/>
    <w:rsid w:val="005C0F6D"/>
    <w:rsid w:val="005D7208"/>
    <w:rsid w:val="005E3BD4"/>
    <w:rsid w:val="006C2EBB"/>
    <w:rsid w:val="006D168E"/>
    <w:rsid w:val="006D60C5"/>
    <w:rsid w:val="00702CA5"/>
    <w:rsid w:val="00730444"/>
    <w:rsid w:val="00735447"/>
    <w:rsid w:val="00755EB4"/>
    <w:rsid w:val="00776934"/>
    <w:rsid w:val="00781FF3"/>
    <w:rsid w:val="007943FF"/>
    <w:rsid w:val="007A6708"/>
    <w:rsid w:val="007C02F3"/>
    <w:rsid w:val="007D5E60"/>
    <w:rsid w:val="007F4AA6"/>
    <w:rsid w:val="007F73ED"/>
    <w:rsid w:val="00812F87"/>
    <w:rsid w:val="008172FE"/>
    <w:rsid w:val="00886C1B"/>
    <w:rsid w:val="008D3040"/>
    <w:rsid w:val="008F6865"/>
    <w:rsid w:val="0090693E"/>
    <w:rsid w:val="009173D3"/>
    <w:rsid w:val="00951500"/>
    <w:rsid w:val="00984CD2"/>
    <w:rsid w:val="00987434"/>
    <w:rsid w:val="009C05DA"/>
    <w:rsid w:val="009C217F"/>
    <w:rsid w:val="009C47F9"/>
    <w:rsid w:val="009D79EC"/>
    <w:rsid w:val="009E7D28"/>
    <w:rsid w:val="009F1D42"/>
    <w:rsid w:val="00A07230"/>
    <w:rsid w:val="00A970D5"/>
    <w:rsid w:val="00AC2FFC"/>
    <w:rsid w:val="00B20892"/>
    <w:rsid w:val="00B22C09"/>
    <w:rsid w:val="00B427C2"/>
    <w:rsid w:val="00B46691"/>
    <w:rsid w:val="00B62A41"/>
    <w:rsid w:val="00B67B78"/>
    <w:rsid w:val="00BE61DA"/>
    <w:rsid w:val="00C14CB0"/>
    <w:rsid w:val="00C54A4F"/>
    <w:rsid w:val="00C93316"/>
    <w:rsid w:val="00C97C24"/>
    <w:rsid w:val="00CC1B2E"/>
    <w:rsid w:val="00CD0BC7"/>
    <w:rsid w:val="00CD3EF0"/>
    <w:rsid w:val="00CE7D73"/>
    <w:rsid w:val="00D0063D"/>
    <w:rsid w:val="00D05A75"/>
    <w:rsid w:val="00D6768B"/>
    <w:rsid w:val="00D7264A"/>
    <w:rsid w:val="00DD776E"/>
    <w:rsid w:val="00DE7459"/>
    <w:rsid w:val="00E33B49"/>
    <w:rsid w:val="00E37A83"/>
    <w:rsid w:val="00E77504"/>
    <w:rsid w:val="00EB349C"/>
    <w:rsid w:val="00EB6B92"/>
    <w:rsid w:val="00ED4F8E"/>
    <w:rsid w:val="00EE2788"/>
    <w:rsid w:val="00F13C1B"/>
    <w:rsid w:val="00F95E63"/>
    <w:rsid w:val="00F97B10"/>
    <w:rsid w:val="00FE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69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0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69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0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48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10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4743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187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42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135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250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8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ТеховаОА</dc:creator>
  <cp:lastModifiedBy>Юрий Портнов</cp:lastModifiedBy>
  <cp:revision>7</cp:revision>
  <cp:lastPrinted>2019-04-18T08:25:00Z</cp:lastPrinted>
  <dcterms:created xsi:type="dcterms:W3CDTF">2019-04-17T14:27:00Z</dcterms:created>
  <dcterms:modified xsi:type="dcterms:W3CDTF">2019-04-18T08:32:00Z</dcterms:modified>
</cp:coreProperties>
</file>